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AF9" w:rsidRDefault="00C92AF9" w:rsidP="00B23420">
      <w:pPr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ПОСТАНОВЛЕНИЕ</w:t>
      </w:r>
    </w:p>
    <w:p w:rsidR="00C92AF9" w:rsidRDefault="00C92AF9" w:rsidP="00EF1251">
      <w:pPr>
        <w:rPr>
          <w:rFonts w:ascii="Times New Roman" w:hAnsi="Times New Roman" w:cs="Times New Roman"/>
          <w:b/>
          <w:sz w:val="32"/>
          <w:szCs w:val="32"/>
        </w:rPr>
      </w:pPr>
    </w:p>
    <w:p w:rsidR="00C92AF9" w:rsidRDefault="00C92AF9" w:rsidP="00EF12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</w:p>
    <w:p w:rsidR="00C92AF9" w:rsidRDefault="00C92AF9" w:rsidP="00EF12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ЛИПКИНСКОГО  СЕЛЬСКОГО ПОСЕЛЕНИЯ</w:t>
      </w:r>
    </w:p>
    <w:p w:rsidR="00C92AF9" w:rsidRDefault="00C92AF9" w:rsidP="00EF12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C92AF9" w:rsidRDefault="00C92AF9" w:rsidP="00EF12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C92AF9" w:rsidRDefault="00C92AF9" w:rsidP="00EF1251">
      <w:pPr>
        <w:rPr>
          <w:rFonts w:ascii="Times New Roman" w:hAnsi="Times New Roman" w:cs="Times New Roman"/>
          <w:b/>
          <w:sz w:val="40"/>
          <w:szCs w:val="40"/>
        </w:rPr>
      </w:pPr>
    </w:p>
    <w:p w:rsidR="00C92AF9" w:rsidRDefault="00C92AF9" w:rsidP="00EF125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left:0;text-align:left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Egw8CgCAABJBAAADgAAAAAAAAAAAAAAAAAuAgAAZHJzL2Uy&#10;b0RvYy54bWxQSwECLQAUAAYACAAAACEALmMidd8AAAAIAQAADwAAAAAAAAAAAAAAAACCBAAAZHJz&#10;L2Rvd25yZXYueG1sUEsFBgAAAAAEAAQA8wAAAI4FAAAAAA==&#10;" strokeweight="1.5pt"/>
        </w:pict>
      </w:r>
    </w:p>
    <w:p w:rsidR="00C92AF9" w:rsidRDefault="00C92AF9" w:rsidP="00EF1251">
      <w:pPr>
        <w:rPr>
          <w:rFonts w:ascii="Times New Roman" w:hAnsi="Times New Roman" w:cs="Times New Roman"/>
        </w:rPr>
      </w:pPr>
    </w:p>
    <w:p w:rsidR="00C92AF9" w:rsidRDefault="00C92AF9" w:rsidP="00B23420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«31» января  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6"/>
            <w:szCs w:val="26"/>
          </w:rPr>
          <w:t>2017 г</w:t>
        </w:r>
      </w:smartTag>
      <w:r>
        <w:rPr>
          <w:rFonts w:ascii="Times New Roman" w:hAnsi="Times New Roman" w:cs="Times New Roman"/>
          <w:sz w:val="26"/>
          <w:szCs w:val="26"/>
        </w:rPr>
        <w:t>.                                                                                 № 2</w:t>
      </w:r>
    </w:p>
    <w:p w:rsidR="00C92AF9" w:rsidRDefault="00C92AF9" w:rsidP="00EF12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92AF9" w:rsidRDefault="00C92AF9" w:rsidP="00EF125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п. Липки</w:t>
      </w:r>
    </w:p>
    <w:p w:rsidR="00C92AF9" w:rsidRDefault="00C92AF9" w:rsidP="00EF1251">
      <w:pPr>
        <w:ind w:firstLine="0"/>
        <w:rPr>
          <w:rFonts w:ascii="Times New Roman" w:hAnsi="Times New Roman" w:cs="Times New Roman"/>
          <w:b/>
        </w:rPr>
      </w:pPr>
    </w:p>
    <w:p w:rsidR="00C92AF9" w:rsidRDefault="00C92AF9" w:rsidP="00EF1251">
      <w:pPr>
        <w:tabs>
          <w:tab w:val="left" w:pos="4170"/>
        </w:tabs>
        <w:rPr>
          <w:rFonts w:ascii="Times New Roman" w:hAnsi="Times New Roman" w:cs="Times New Roman"/>
          <w:b/>
          <w:sz w:val="28"/>
          <w:szCs w:val="28"/>
        </w:rPr>
      </w:pPr>
    </w:p>
    <w:p w:rsidR="00C92AF9" w:rsidRDefault="00C92AF9" w:rsidP="00EF1251">
      <w:pPr>
        <w:tabs>
          <w:tab w:val="left" w:pos="4170"/>
        </w:tabs>
        <w:ind w:left="567" w:right="2115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«Об утверждении положения об установлении соотношения должностного оклада руководителя муниципального  бюджетного учреждения культуры «КДЦ  Липкинского сельского поселения» к средней заработной плате работников, относящихся к основному персоналу возглавляемого им учреждения, выплатах компенсационного и стимулирующего характера руководителя с учетом показателей (критериев) оценки эффективности деятельности учреждения»</w:t>
      </w:r>
    </w:p>
    <w:p w:rsidR="00C92AF9" w:rsidRDefault="00C92AF9" w:rsidP="00EF1251">
      <w:pPr>
        <w:tabs>
          <w:tab w:val="left" w:pos="4170"/>
        </w:tabs>
        <w:ind w:left="567" w:right="2115" w:firstLine="0"/>
        <w:rPr>
          <w:rFonts w:ascii="Times New Roman" w:hAnsi="Times New Roman" w:cs="Times New Roman"/>
          <w:b/>
          <w:sz w:val="28"/>
          <w:szCs w:val="28"/>
        </w:rPr>
      </w:pPr>
    </w:p>
    <w:p w:rsidR="00C92AF9" w:rsidRDefault="00C92AF9" w:rsidP="00EF1251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EF1251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решением Совета депутатов Липкинского  сельского поселения Ромодановского муниципального района Республики Мордовия от 30.10.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2008 г</w:t>
        </w:r>
      </w:smartTag>
      <w:r>
        <w:rPr>
          <w:rFonts w:ascii="Times New Roman" w:hAnsi="Times New Roman" w:cs="Times New Roman"/>
          <w:sz w:val="28"/>
          <w:szCs w:val="28"/>
        </w:rPr>
        <w:t>. №4  «Об основах организации оплаты труда работников муниципальных учреждений Липкинского сельского поселения Ромодановского муниципального района» и решением Совета депутатов Липкинского сельского поселения  от 15.09.2014 г. №3 «Об утверждении Примерного положения об оплате труда работников  МБУК «КДЦ Липкинского  сельского поселения</w:t>
      </w:r>
      <w:r w:rsidRPr="005A2A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Мордовия»,</w:t>
      </w:r>
    </w:p>
    <w:p w:rsidR="00C92AF9" w:rsidRDefault="00C92AF9" w:rsidP="00EF1251">
      <w:pPr>
        <w:tabs>
          <w:tab w:val="left" w:pos="41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AF9" w:rsidRDefault="00C92AF9" w:rsidP="00EF1251">
      <w:pPr>
        <w:tabs>
          <w:tab w:val="left" w:pos="41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92AF9" w:rsidRDefault="00C92AF9" w:rsidP="00EF1251">
      <w:pPr>
        <w:tabs>
          <w:tab w:val="left" w:pos="41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AF9" w:rsidRDefault="00C92AF9" w:rsidP="00EF1251">
      <w:pPr>
        <w:widowControl/>
        <w:numPr>
          <w:ilvl w:val="0"/>
          <w:numId w:val="2"/>
        </w:numPr>
        <w:autoSpaceDE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положение об установлении соотношения должностного оклада руководителя муниципального  бюджетного учреждения культуры «КДЦ  Липкинского сельского поселения» к средней заработной плате работников относящихся к основному персоналу возглавляемого им учреждения,   выплатах компенсационного и стимулирующего характера руководителя МБУК «КДЦ Липкинского сельского поселения» с учетом показателей (критериев) оценки эффективности деятельности учреждения  </w:t>
      </w:r>
      <w:r w:rsidRPr="005A2AAC">
        <w:rPr>
          <w:rFonts w:ascii="Times New Roman" w:hAnsi="Times New Roman" w:cs="Times New Roman"/>
          <w:sz w:val="28"/>
          <w:szCs w:val="28"/>
        </w:rPr>
        <w:t>(приложение №1)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AF9" w:rsidRDefault="00C92AF9" w:rsidP="00D24DF2">
      <w:pPr>
        <w:widowControl/>
        <w:autoSpaceDE/>
        <w:adjustRightInd/>
        <w:ind w:left="709" w:hanging="349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D24DF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DF2">
        <w:rPr>
          <w:rFonts w:ascii="Times New Roman" w:hAnsi="Times New Roman" w:cs="Times New Roman"/>
          <w:sz w:val="28"/>
          <w:szCs w:val="28"/>
        </w:rPr>
        <w:t>Признать утратившим силу  постановление Администрации Липкинского  сельского поселения Ромодановского муниципального района Республики Мордовия от 09.10.2014 г. №13 «Об утверждении  положения о порядке и условиях осуществления выплат стимулирующего характера руководителя МБУК «КДЦ Липкинского  сельского поселения».</w:t>
      </w:r>
    </w:p>
    <w:p w:rsidR="00C92AF9" w:rsidRDefault="00C92AF9" w:rsidP="00D24DF2">
      <w:pPr>
        <w:pStyle w:val="ConsPlusNormal0"/>
        <w:widowControl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 Настоящее постановление подлежит  официальному  опубликованию и     распространяет своё действие на правоотношения, возникшие с 01 января 2017 года.</w:t>
      </w: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Липкинского</w:t>
      </w: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                     Л.П. Новикова                                                           </w:t>
      </w: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Default="00C92AF9" w:rsidP="00D925A6">
      <w:pPr>
        <w:ind w:left="4956"/>
        <w:rPr>
          <w:rFonts w:ascii="Times New Roman" w:hAnsi="Times New Roman" w:cs="Times New Roman"/>
        </w:rPr>
      </w:pPr>
    </w:p>
    <w:p w:rsidR="00C92AF9" w:rsidRPr="00D925A6" w:rsidRDefault="00C92AF9" w:rsidP="00D925A6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D925A6">
        <w:rPr>
          <w:rFonts w:ascii="Times New Roman" w:hAnsi="Times New Roman" w:cs="Times New Roman"/>
        </w:rPr>
        <w:t>ПРИЛОЖЕНИЕ №1</w:t>
      </w:r>
    </w:p>
    <w:p w:rsidR="00C92AF9" w:rsidRPr="00D925A6" w:rsidRDefault="00C92AF9" w:rsidP="00D925A6">
      <w:pPr>
        <w:ind w:left="4956"/>
        <w:rPr>
          <w:rFonts w:ascii="Times New Roman" w:hAnsi="Times New Roman" w:cs="Times New Roman"/>
        </w:rPr>
      </w:pPr>
      <w:r w:rsidRPr="00D925A6">
        <w:rPr>
          <w:rFonts w:ascii="Times New Roman" w:hAnsi="Times New Roman" w:cs="Times New Roman"/>
        </w:rPr>
        <w:t>к постановлению Администрации      Липкинского сельского поселения  Ромодановского муниципального района Республики Мордовия</w:t>
      </w:r>
    </w:p>
    <w:p w:rsidR="00C92AF9" w:rsidRPr="00D925A6" w:rsidRDefault="00C92AF9" w:rsidP="00D925A6">
      <w:pPr>
        <w:ind w:left="4956"/>
        <w:rPr>
          <w:rFonts w:ascii="Times New Roman" w:hAnsi="Times New Roman" w:cs="Times New Roman"/>
        </w:rPr>
      </w:pPr>
      <w:r w:rsidRPr="00D925A6">
        <w:rPr>
          <w:rFonts w:ascii="Times New Roman" w:hAnsi="Times New Roman" w:cs="Times New Roman"/>
        </w:rPr>
        <w:t xml:space="preserve">от «31» января </w:t>
      </w:r>
      <w:smartTag w:uri="urn:schemas-microsoft-com:office:smarttags" w:element="metricconverter">
        <w:smartTagPr>
          <w:attr w:name="ProductID" w:val="2017 г"/>
        </w:smartTagPr>
        <w:r w:rsidRPr="00D925A6">
          <w:rPr>
            <w:rFonts w:ascii="Times New Roman" w:hAnsi="Times New Roman" w:cs="Times New Roman"/>
          </w:rPr>
          <w:t>2017 г</w:t>
        </w:r>
      </w:smartTag>
      <w:r w:rsidRPr="00D925A6">
        <w:rPr>
          <w:rFonts w:ascii="Times New Roman" w:hAnsi="Times New Roman" w:cs="Times New Roman"/>
        </w:rPr>
        <w:t>. № 2</w:t>
      </w:r>
    </w:p>
    <w:p w:rsidR="00C92AF9" w:rsidRDefault="00C92AF9" w:rsidP="00D925A6">
      <w:pPr>
        <w:ind w:left="4956"/>
      </w:pPr>
    </w:p>
    <w:p w:rsidR="00C92AF9" w:rsidRDefault="00C92AF9" w:rsidP="00D925A6">
      <w:pPr>
        <w:rPr>
          <w:sz w:val="28"/>
          <w:szCs w:val="28"/>
        </w:rPr>
      </w:pPr>
    </w:p>
    <w:p w:rsidR="00C92AF9" w:rsidRPr="00D925A6" w:rsidRDefault="00C92AF9" w:rsidP="00D925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5A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92AF9" w:rsidRPr="00D925A6" w:rsidRDefault="00C92AF9" w:rsidP="00D925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5A6">
        <w:rPr>
          <w:rFonts w:ascii="Times New Roman" w:hAnsi="Times New Roman" w:cs="Times New Roman"/>
          <w:b/>
          <w:sz w:val="28"/>
          <w:szCs w:val="28"/>
        </w:rPr>
        <w:t xml:space="preserve">об установлении соотношения должностного оклада руководителя муниципального бюджетного учреждения культуры к средней заработной плате  работников, относящихся к основному персоналу возглавляемого  им учреждения, выплатах компенсационного и стимулирующего характера руководителя с учетом показателей (критериев) оценки эффективности деятельности учреждения </w:t>
      </w:r>
    </w:p>
    <w:p w:rsidR="00C92AF9" w:rsidRPr="00D925A6" w:rsidRDefault="00C92AF9" w:rsidP="00D925A6">
      <w:pPr>
        <w:rPr>
          <w:rFonts w:ascii="Times New Roman" w:hAnsi="Times New Roman" w:cs="Times New Roman"/>
          <w:b/>
          <w:sz w:val="28"/>
          <w:szCs w:val="28"/>
        </w:rPr>
      </w:pP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1. Должностной оклад руководителя  муниципального бюджетного учреждения культуры «КДЦ Липкинского сельского поселения» (далее – учреждение культуры) устанавливается работодателем, в ведении которого находится учреждение  на основании трудового договора, исходя из средней заработной платы работников, относящихся к основному персоналу учреждения культуры и коэффициента кратности, установленного в зависимости от группы, к которой отнесено учреждение культуры по следующей формуле: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ДОР = ЗПрср х К, где: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ДОР – должностной оклад руководителя учреждения;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ЗПопср – средняя заработная плата работников, относящихся к основному персоналу учреждения;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К – коэффициент кратности для руководителя учреждения, устанавливаемый в зависимости от группы, к которой отнесено учреждение.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Коэффициент кратности Муниципальное бюджетное учреждение культуры «КДЦ Липкинского сельского поселения»  составляет: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1 группа – коэффициент 1,5;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2 группа – коэффициент 1,4;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3 группа – коэффициент 1,3;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4 группа – коэффициент 1,2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Группа, к которой отнесено учреждение культуры, определяется согласно показателям деятельности учреждения культуры согласно приложениям 1 и 2.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Конкретное количество баллов, предусмотренных по показателям, определяется Администрацией Липкинского сельского поселения Ромодановского муниципального района Республики Мордовия.</w:t>
      </w:r>
    </w:p>
    <w:p w:rsidR="00C92AF9" w:rsidRPr="00D925A6" w:rsidRDefault="00C92AF9" w:rsidP="00D925A6">
      <w:pPr>
        <w:ind w:left="4678"/>
        <w:rPr>
          <w:rFonts w:ascii="Times New Roman" w:hAnsi="Times New Roman" w:cs="Times New Roman"/>
          <w:b/>
        </w:rPr>
      </w:pPr>
      <w:r w:rsidRPr="00D925A6">
        <w:rPr>
          <w:rFonts w:ascii="Times New Roman" w:hAnsi="Times New Roman" w:cs="Times New Roman"/>
          <w:b/>
        </w:rPr>
        <w:t>Приложение 1</w:t>
      </w:r>
    </w:p>
    <w:p w:rsidR="00C92AF9" w:rsidRPr="00D925A6" w:rsidRDefault="00C92AF9" w:rsidP="00D925A6">
      <w:pPr>
        <w:ind w:left="4678"/>
        <w:rPr>
          <w:rFonts w:ascii="Times New Roman" w:hAnsi="Times New Roman" w:cs="Times New Roman"/>
        </w:rPr>
      </w:pPr>
      <w:r w:rsidRPr="00D925A6">
        <w:rPr>
          <w:rFonts w:ascii="Times New Roman" w:hAnsi="Times New Roman" w:cs="Times New Roman"/>
        </w:rPr>
        <w:t>к Положению об установлении соотношения должностного оклада руководителя муниципального бюджетного учреждения   «КДЦ Липкинского сельского поселения»» к  средней заработной плате работников, относящихся к основному персоналу возглавляемого им учреждения, выплатах компенсационного и стимулирующего характера руководителя с учетом показателей (критериев) оценки эффективности деятельности  учреждения</w:t>
      </w:r>
    </w:p>
    <w:p w:rsidR="00C92AF9" w:rsidRPr="00D925A6" w:rsidRDefault="00C92AF9" w:rsidP="00D925A6">
      <w:pPr>
        <w:ind w:left="4678"/>
        <w:rPr>
          <w:rFonts w:ascii="Times New Roman" w:hAnsi="Times New Roman" w:cs="Times New Roman"/>
          <w:sz w:val="28"/>
          <w:szCs w:val="28"/>
        </w:rPr>
      </w:pPr>
    </w:p>
    <w:p w:rsidR="00C92AF9" w:rsidRPr="00D925A6" w:rsidRDefault="00C92AF9" w:rsidP="00D925A6">
      <w:pPr>
        <w:ind w:left="3540"/>
        <w:rPr>
          <w:rFonts w:ascii="Times New Roman" w:hAnsi="Times New Roman" w:cs="Times New Roman"/>
          <w:sz w:val="28"/>
          <w:szCs w:val="28"/>
        </w:rPr>
      </w:pPr>
    </w:p>
    <w:p w:rsidR="00C92AF9" w:rsidRPr="00D925A6" w:rsidRDefault="00C92AF9" w:rsidP="00D925A6">
      <w:pPr>
        <w:ind w:left="3540"/>
        <w:rPr>
          <w:rFonts w:ascii="Times New Roman" w:hAnsi="Times New Roman" w:cs="Times New Roman"/>
          <w:sz w:val="28"/>
          <w:szCs w:val="28"/>
        </w:rPr>
      </w:pPr>
    </w:p>
    <w:p w:rsidR="00C92AF9" w:rsidRPr="00D925A6" w:rsidRDefault="00C92AF9" w:rsidP="00D925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5A6">
        <w:rPr>
          <w:rFonts w:ascii="Times New Roman" w:hAnsi="Times New Roman" w:cs="Times New Roman"/>
          <w:b/>
          <w:sz w:val="28"/>
          <w:szCs w:val="28"/>
        </w:rPr>
        <w:t xml:space="preserve">Объемные показатели деятельности </w:t>
      </w:r>
    </w:p>
    <w:p w:rsidR="00C92AF9" w:rsidRPr="00D925A6" w:rsidRDefault="00C92AF9" w:rsidP="00D925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5A6">
        <w:rPr>
          <w:rFonts w:ascii="Times New Roman" w:hAnsi="Times New Roman" w:cs="Times New Roman"/>
          <w:b/>
          <w:sz w:val="28"/>
          <w:szCs w:val="28"/>
        </w:rPr>
        <w:t xml:space="preserve">муниципального бюджетного учреждения культуры </w:t>
      </w:r>
    </w:p>
    <w:p w:rsidR="00C92AF9" w:rsidRPr="00D925A6" w:rsidRDefault="00C92AF9" w:rsidP="00D925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5A6">
        <w:rPr>
          <w:rFonts w:ascii="Times New Roman" w:hAnsi="Times New Roman" w:cs="Times New Roman"/>
          <w:b/>
          <w:sz w:val="28"/>
          <w:szCs w:val="28"/>
        </w:rPr>
        <w:t xml:space="preserve"> «КДЦ Липкинского сельского поселения»</w:t>
      </w:r>
    </w:p>
    <w:p w:rsidR="00C92AF9" w:rsidRPr="00D925A6" w:rsidRDefault="00C92AF9" w:rsidP="00D925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1. Отнесение МБУК   «КДЦ Липкинского сельского поселения»  к группе учреждения по объемным показателям (подтверждение, повышение, снижение) производится ежегодно по результатам работы за прошедший год, на основании статистических, текстовых и других документов, подтверждающих наличие указанных объемов и качество работы учреждения.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2. МБУК  «КДЦ Липкинского сельского поселения»  при достижении высоких результатов по основным направлениям деятельности может быть отнесен на одну группу выше по сравнению с установленной по показателям.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3. Основные направления деятельности МБУК   «КДЦ Липкинского сельского поселения» устанавливаются Администрацией  Липкинского сельского поселения, исходя из местных условий, специфики работы и использования материально-технической базы учреждения культуры.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4.  МБУК  «КДЦ Липкинского сельского поселения» может быть отнесен на одну группу ниже по сравнению с группой, определенной по установленным показателям, в тех случаях, когда содержание его работы не отвечает предъявленным к нему требованиям.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5. МБУК  «КДЦ Липкинского сельского поселения»  относится к группе учреждения по объемным показателям в зависимости от количества постоянных действующих в течение года клубных формирований и культурно-досуговых мероприятий.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>6. Решение об отнесении МБУК  «КДЦ Липкинского сельского поселения»  к той или иной группе учреждения по объемным показателям принимается Администрацией Липкинского сельского поселения.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C92AF9" w:rsidRPr="00D925A6" w:rsidRDefault="00C92AF9" w:rsidP="00D925A6">
      <w:pPr>
        <w:rPr>
          <w:rFonts w:ascii="Times New Roman" w:hAnsi="Times New Roman" w:cs="Times New Roman"/>
          <w:b/>
          <w:sz w:val="28"/>
          <w:szCs w:val="28"/>
        </w:rPr>
      </w:pP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D925A6">
        <w:rPr>
          <w:rFonts w:ascii="Times New Roman" w:hAnsi="Times New Roman" w:cs="Times New Roman"/>
          <w:b/>
          <w:sz w:val="28"/>
          <w:szCs w:val="28"/>
        </w:rPr>
        <w:t>Примечание: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b/>
          <w:sz w:val="28"/>
          <w:szCs w:val="28"/>
        </w:rPr>
        <w:t>- к клубным формированиям</w:t>
      </w:r>
      <w:r w:rsidRPr="00D925A6">
        <w:rPr>
          <w:rFonts w:ascii="Times New Roman" w:hAnsi="Times New Roman" w:cs="Times New Roman"/>
          <w:sz w:val="28"/>
          <w:szCs w:val="28"/>
        </w:rPr>
        <w:t xml:space="preserve"> относятся: любительские объединения, клубы по интересам, кружки и коллективы народного творчества, прикладных знаний и навыков, домоводства и другие кружки, курсы, школы, студии и т.п.; спортивные секции, оздоровительные группы и другие подобные формирования, действующие в клубном учреждении и его филиалах на конец отчетного года. Клубные формирования, действующие в течение года, но завершившие программу (курс) обучения до конца отчетного года, также включаются.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b/>
          <w:sz w:val="28"/>
          <w:szCs w:val="28"/>
        </w:rPr>
        <w:t>- к культурно-досуговым мероприятиям</w:t>
      </w:r>
      <w:r w:rsidRPr="00D925A6">
        <w:rPr>
          <w:rFonts w:ascii="Times New Roman" w:hAnsi="Times New Roman" w:cs="Times New Roman"/>
          <w:sz w:val="28"/>
          <w:szCs w:val="28"/>
        </w:rPr>
        <w:t xml:space="preserve"> относятся: театрализованные праздники и представления, концерты, спектакли, карнавалы, шоу, праздники района, гражданско-семейные обряды и ритуалы, культурно- спортивные мероприятия, игры, показательные выступления, танцы, дискотеки, игротеки, фестивали, конкурсы.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25A6">
        <w:rPr>
          <w:rFonts w:ascii="Times New Roman" w:hAnsi="Times New Roman" w:cs="Times New Roman"/>
          <w:sz w:val="28"/>
          <w:szCs w:val="28"/>
        </w:rPr>
        <w:t xml:space="preserve">МБУК  «КДЦ Липкинского сельского поселения»  относится к группе в зависимости от количества постоянно действующих в течение года клубных формирований, культурно-досуговых мероприятий по следующим показателям: </w:t>
      </w:r>
    </w:p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C92AF9" w:rsidRPr="00D925A6" w:rsidTr="00B14578">
        <w:tc>
          <w:tcPr>
            <w:tcW w:w="3190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>Группы учреждений по объемным показателям</w:t>
            </w:r>
          </w:p>
        </w:tc>
        <w:tc>
          <w:tcPr>
            <w:tcW w:w="3190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>Количество культурно- досуговых мероприятий</w:t>
            </w:r>
          </w:p>
        </w:tc>
        <w:tc>
          <w:tcPr>
            <w:tcW w:w="3191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>Количество постоянно действующих в течение года клубных формирований</w:t>
            </w:r>
          </w:p>
        </w:tc>
      </w:tr>
      <w:tr w:rsidR="00C92AF9" w:rsidRPr="00D925A6" w:rsidTr="00B14578">
        <w:tc>
          <w:tcPr>
            <w:tcW w:w="9571" w:type="dxa"/>
            <w:gridSpan w:val="3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>МБУК  «КДЦ Липкинского сельского поселения»</w:t>
            </w:r>
          </w:p>
        </w:tc>
      </w:tr>
      <w:tr w:rsidR="00C92AF9" w:rsidRPr="00D925A6" w:rsidTr="00B14578">
        <w:tc>
          <w:tcPr>
            <w:tcW w:w="3190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3190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>Свыше 120</w:t>
            </w:r>
          </w:p>
        </w:tc>
        <w:tc>
          <w:tcPr>
            <w:tcW w:w="3191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C92AF9" w:rsidRPr="00D925A6" w:rsidTr="00B14578">
        <w:tc>
          <w:tcPr>
            <w:tcW w:w="3190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3190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>100 – 120</w:t>
            </w:r>
          </w:p>
        </w:tc>
        <w:tc>
          <w:tcPr>
            <w:tcW w:w="3191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92AF9" w:rsidRPr="00D925A6" w:rsidTr="00B14578">
        <w:tc>
          <w:tcPr>
            <w:tcW w:w="3190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3190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 xml:space="preserve">75 – 99 </w:t>
            </w:r>
          </w:p>
        </w:tc>
        <w:tc>
          <w:tcPr>
            <w:tcW w:w="3191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 xml:space="preserve">10 – 15 </w:t>
            </w:r>
          </w:p>
        </w:tc>
      </w:tr>
      <w:tr w:rsidR="00C92AF9" w:rsidRPr="00D925A6" w:rsidTr="00B14578">
        <w:tc>
          <w:tcPr>
            <w:tcW w:w="3190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3190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 xml:space="preserve">55 – 74 </w:t>
            </w:r>
          </w:p>
        </w:tc>
        <w:tc>
          <w:tcPr>
            <w:tcW w:w="3191" w:type="dxa"/>
          </w:tcPr>
          <w:p w:rsidR="00C92AF9" w:rsidRPr="00D925A6" w:rsidRDefault="00C92AF9" w:rsidP="00B1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5A6">
              <w:rPr>
                <w:rFonts w:ascii="Times New Roman" w:hAnsi="Times New Roman" w:cs="Times New Roman"/>
                <w:sz w:val="28"/>
                <w:szCs w:val="28"/>
              </w:rPr>
              <w:t xml:space="preserve">3 – 9 </w:t>
            </w:r>
          </w:p>
        </w:tc>
      </w:tr>
    </w:tbl>
    <w:p w:rsidR="00C92AF9" w:rsidRPr="00D925A6" w:rsidRDefault="00C92AF9" w:rsidP="00D925A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C92AF9" w:rsidRPr="00D925A6" w:rsidRDefault="00C92AF9" w:rsidP="00D925A6">
      <w:pPr>
        <w:rPr>
          <w:rFonts w:ascii="Times New Roman" w:hAnsi="Times New Roman" w:cs="Times New Roman"/>
          <w:sz w:val="28"/>
          <w:szCs w:val="28"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</w:t>
      </w: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</w:p>
    <w:p w:rsidR="00C92AF9" w:rsidRDefault="00C92AF9" w:rsidP="00D925A6">
      <w:pPr>
        <w:ind w:left="467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Приложение 2</w:t>
      </w:r>
    </w:p>
    <w:p w:rsidR="00C92AF9" w:rsidRDefault="00C92AF9" w:rsidP="00D925A6">
      <w:pPr>
        <w:ind w:left="4678"/>
        <w:rPr>
          <w:rFonts w:ascii="Times New Roman" w:hAnsi="Times New Roman"/>
        </w:rPr>
      </w:pPr>
      <w:r>
        <w:rPr>
          <w:rFonts w:ascii="Times New Roman" w:hAnsi="Times New Roman"/>
        </w:rPr>
        <w:t>к Положению об установлении соотношения должностного оклада руководителя муниципального бюджетного учреждения «КДЦ Липкинского сельского поселения» к  средней заработной плате работников, относящихся к основному персоналу возглавляемого им  учреждения, выплатах компенсационного и стимулирующего характера руководителя с учетом показателей (критериев) оценки эффективности деятельности  учреждения</w:t>
      </w:r>
    </w:p>
    <w:p w:rsidR="00C92AF9" w:rsidRDefault="00C92AF9" w:rsidP="00D925A6"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</w:t>
      </w:r>
    </w:p>
    <w:p w:rsidR="00C92AF9" w:rsidRDefault="00C92AF9" w:rsidP="00D925A6">
      <w:pPr>
        <w:pStyle w:val="NoSpacing"/>
        <w:jc w:val="center"/>
        <w:rPr>
          <w:rFonts w:ascii="Times New Roman" w:hAnsi="Times New Roman"/>
          <w:b/>
        </w:rPr>
      </w:pPr>
    </w:p>
    <w:p w:rsidR="00C92AF9" w:rsidRDefault="00C92AF9" w:rsidP="00D925A6"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</w:p>
    <w:p w:rsidR="00C92AF9" w:rsidRPr="006D72EA" w:rsidRDefault="00C92AF9" w:rsidP="00D925A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 </w:t>
      </w:r>
      <w:r w:rsidRPr="006D72EA">
        <w:rPr>
          <w:rFonts w:ascii="Times New Roman" w:hAnsi="Times New Roman"/>
          <w:b/>
          <w:sz w:val="24"/>
          <w:szCs w:val="24"/>
        </w:rPr>
        <w:t xml:space="preserve">Основные критерии оценки деятельности руководителя муниципального  бюджетного учреждения культуры  «КДЦ  Липкинского сельского поселения» </w:t>
      </w:r>
    </w:p>
    <w:p w:rsidR="00C92AF9" w:rsidRDefault="00C92AF9" w:rsidP="00D925A6">
      <w:pPr>
        <w:pStyle w:val="NoSpacing"/>
        <w:jc w:val="center"/>
        <w:rPr>
          <w:rFonts w:ascii="Times New Roman" w:hAnsi="Times New Roman"/>
          <w:b/>
        </w:rPr>
      </w:pPr>
    </w:p>
    <w:p w:rsidR="00C92AF9" w:rsidRDefault="00C92AF9" w:rsidP="00D925A6">
      <w:pPr>
        <w:pStyle w:val="NoSpacing"/>
        <w:rPr>
          <w:rFonts w:ascii="Times New Roman" w:hAnsi="Times New Roman"/>
          <w:b/>
        </w:rPr>
      </w:pPr>
    </w:p>
    <w:tbl>
      <w:tblPr>
        <w:tblW w:w="11370" w:type="dxa"/>
        <w:tblInd w:w="-1332" w:type="dxa"/>
        <w:tblLayout w:type="fixed"/>
        <w:tblLook w:val="01E0"/>
      </w:tblPr>
      <w:tblGrid>
        <w:gridCol w:w="657"/>
        <w:gridCol w:w="4614"/>
        <w:gridCol w:w="4113"/>
        <w:gridCol w:w="1986"/>
      </w:tblGrid>
      <w:tr w:rsidR="00C92AF9" w:rsidTr="00B14578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КРИТЕРИИ ЭФФЕКТИВНОСТИ РАБОТЫ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 БАЛЛОВ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ВЫПОЛНЕНИЕ</w:t>
            </w:r>
          </w:p>
        </w:tc>
      </w:tr>
      <w:tr w:rsidR="00C92AF9" w:rsidRPr="006D72EA" w:rsidTr="00B14578">
        <w:trPr>
          <w:trHeight w:val="689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Проведение  мероприятий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100% и выше - 10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90% - 99% - 9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80% - 89% - 5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36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1 - 10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75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Уровень работы кружков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(наполняемость, эффективность, результат)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Высокий – 5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Средний – 3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Низкий –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24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2-5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104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Отсутствие или  своевременное выполнение предписаний службы пожарной безопасности, тепло и электробезопасности,  соблюдение правил охраны труда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Отсутствие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предписаний– 5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Своевременное выполнение – 3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Наличие предписаний  –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32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максимально по критерию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 3-5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356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Исполнительская дисциплина, своевременное предоставление отчетности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Отсутствие замечаний – 6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Наличие замечаний –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42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максимально по критерию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 4 -6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74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Платные услуги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Выполнение плановых показателей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100% - 10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90% - 9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80%- 8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70% - 7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60% - 6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50% - 5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40% - 4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30% 3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20% - 2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10% - 1 балл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34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5-10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34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Оказание дополнительных платных услуг (кроме дискотеки), привлечение спонсорских средств и благотворительной помощи.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Наличие – 2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Отсутствие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481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6- 2 балла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345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Отсутствие дисциплинарных нарушений в коллективе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4  балла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56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7- 4 балла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1754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Рациональное расходование бюджетных средств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отопление согласно лимитам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- 2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освещение согласно лимитам – 2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 экономия за отопление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– 3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экономия за освещение – 3 балла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60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8-6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896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Участие в зональных, заключительных турах,  Республиканских конкурсах, фестивалях, гала-концертах.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победители – 13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призеры- 12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участие – 11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517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максимально по критерию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9-13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52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победители – 12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призеры- 11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участие – 10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56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максимально по критерию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 10-12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40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Уровень и качество проводимых мероприятий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Высокий – 5 баллов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Средний  - 3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Низкий –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40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 11-5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361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Участие в проведении районных,  кустовых, выездных  семинаров, совещаний, творческих лабораторий, мастер – классов.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50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12-5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23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Творческий подход к организации клубной  работы (разработка авторских сценариев, проведение мероприятий в рамках реализации  целевых программ и творческих проектов)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3 балла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40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13- 3 балла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375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Состояние нормативно-правовой базы, регламентирующей деятельность учреждения, соответствие перечня и содержания учредительных и других нормативных и правовых документов, локальных актов требованиям норм законодательства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Полное соответствие требованиям норм законодательства- 6 баллов.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Наличие легко устранимых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недочетов в оформлении и содержании- 3 балла.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Не соответствие требованиям – 0 баллов.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42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14-6 балла.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531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Эстетические условия, оформление, состояние территории, прилегающей к клубному учреждению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Хорошие - 4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Удовлетворительные – 2 балла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409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Максимально по критерию 15-4 балла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332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Работа  по созданию положительного имиджа клубного учреждения: публикации статей, составление дайджестов, оформление стендов, выставок, альбомов, раскладушек, поощрения, награждения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Наличие – 4 балла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Отсутствие –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AF9" w:rsidRPr="006D72EA" w:rsidTr="00B14578">
        <w:trPr>
          <w:trHeight w:val="602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16- 4 балла.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F9" w:rsidRPr="006D72EA" w:rsidRDefault="00C92AF9" w:rsidP="00B14578">
            <w:pPr>
              <w:rPr>
                <w:rFonts w:ascii="Times New Roman" w:hAnsi="Times New Roman"/>
              </w:rPr>
            </w:pPr>
          </w:p>
        </w:tc>
      </w:tr>
      <w:tr w:rsidR="00C92AF9" w:rsidRPr="006D72EA" w:rsidTr="00B14578">
        <w:trPr>
          <w:trHeight w:val="406"/>
        </w:trPr>
        <w:tc>
          <w:tcPr>
            <w:tcW w:w="5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D72EA">
              <w:rPr>
                <w:rFonts w:ascii="Times New Roman" w:hAnsi="Times New Roman"/>
                <w:b/>
                <w:sz w:val="24"/>
                <w:szCs w:val="24"/>
              </w:rPr>
              <w:t>Максимально по критериям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100 баллов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F9" w:rsidRPr="006D72EA" w:rsidRDefault="00C92AF9" w:rsidP="00B1457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2AF9" w:rsidRDefault="00C92AF9" w:rsidP="00D925A6">
      <w:pPr>
        <w:pStyle w:val="NoSpacing"/>
        <w:rPr>
          <w:rFonts w:ascii="Times New Roman" w:hAnsi="Times New Roman"/>
          <w:sz w:val="24"/>
          <w:szCs w:val="24"/>
        </w:rPr>
      </w:pPr>
    </w:p>
    <w:p w:rsidR="00C92AF9" w:rsidRPr="006D72EA" w:rsidRDefault="00C92AF9" w:rsidP="00D925A6">
      <w:pPr>
        <w:pStyle w:val="NoSpacing"/>
        <w:rPr>
          <w:rFonts w:ascii="Times New Roman" w:hAnsi="Times New Roman"/>
          <w:sz w:val="24"/>
          <w:szCs w:val="24"/>
        </w:rPr>
      </w:pPr>
      <w:r w:rsidRPr="006D72EA">
        <w:rPr>
          <w:rFonts w:ascii="Times New Roman" w:hAnsi="Times New Roman"/>
          <w:sz w:val="24"/>
          <w:szCs w:val="24"/>
        </w:rPr>
        <w:t xml:space="preserve"> Примечание: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72EA">
        <w:rPr>
          <w:rFonts w:ascii="Times New Roman" w:hAnsi="Times New Roman"/>
          <w:sz w:val="24"/>
          <w:szCs w:val="24"/>
        </w:rPr>
        <w:t xml:space="preserve">1 балл  равен 1 % от месячного фонда стимулирования </w:t>
      </w:r>
    </w:p>
    <w:p w:rsidR="00C92AF9" w:rsidRPr="006D72EA" w:rsidRDefault="00C92AF9" w:rsidP="00D925A6">
      <w:pPr>
        <w:pStyle w:val="NoSpacing"/>
        <w:rPr>
          <w:rFonts w:ascii="Times New Roman" w:hAnsi="Times New Roman"/>
          <w:sz w:val="24"/>
          <w:szCs w:val="24"/>
        </w:rPr>
      </w:pPr>
    </w:p>
    <w:p w:rsidR="00C92AF9" w:rsidRPr="006D72EA" w:rsidRDefault="00C92AF9" w:rsidP="00D925A6">
      <w:pPr>
        <w:pStyle w:val="NoSpacing"/>
        <w:rPr>
          <w:rFonts w:ascii="Times New Roman" w:hAnsi="Times New Roman"/>
          <w:sz w:val="24"/>
          <w:szCs w:val="24"/>
        </w:rPr>
      </w:pPr>
    </w:p>
    <w:p w:rsidR="00C92AF9" w:rsidRPr="006D72EA" w:rsidRDefault="00C92AF9" w:rsidP="00D925A6"/>
    <w:p w:rsidR="00C92AF9" w:rsidRDefault="00C92AF9"/>
    <w:sectPr w:rsidR="00C92AF9" w:rsidSect="00980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4108D"/>
    <w:multiLevelType w:val="hybridMultilevel"/>
    <w:tmpl w:val="09EE31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E0C68B6"/>
    <w:multiLevelType w:val="hybridMultilevel"/>
    <w:tmpl w:val="B764F2F2"/>
    <w:lvl w:ilvl="0" w:tplc="681ED206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251"/>
    <w:rsid w:val="00331AC1"/>
    <w:rsid w:val="003C5509"/>
    <w:rsid w:val="005175E0"/>
    <w:rsid w:val="005348E2"/>
    <w:rsid w:val="005713F1"/>
    <w:rsid w:val="005A2AAC"/>
    <w:rsid w:val="006642B8"/>
    <w:rsid w:val="006D72EA"/>
    <w:rsid w:val="00980FA3"/>
    <w:rsid w:val="00AD6B30"/>
    <w:rsid w:val="00B14578"/>
    <w:rsid w:val="00B23420"/>
    <w:rsid w:val="00BD5720"/>
    <w:rsid w:val="00C126F2"/>
    <w:rsid w:val="00C14212"/>
    <w:rsid w:val="00C92AF9"/>
    <w:rsid w:val="00CB42C2"/>
    <w:rsid w:val="00D24DF2"/>
    <w:rsid w:val="00D925A6"/>
    <w:rsid w:val="00DF299D"/>
    <w:rsid w:val="00EF1251"/>
    <w:rsid w:val="00F26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25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EF1251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EF125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NoSpacing">
    <w:name w:val="No Spacing"/>
    <w:uiPriority w:val="99"/>
    <w:qFormat/>
    <w:rsid w:val="00D925A6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85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8</Pages>
  <Words>1734</Words>
  <Characters>9890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6</cp:revision>
  <cp:lastPrinted>2017-02-10T12:36:00Z</cp:lastPrinted>
  <dcterms:created xsi:type="dcterms:W3CDTF">2017-02-10T07:46:00Z</dcterms:created>
  <dcterms:modified xsi:type="dcterms:W3CDTF">2017-02-16T09:43:00Z</dcterms:modified>
</cp:coreProperties>
</file>