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line="240" w:lineRule="auto"/>
        <w:ind/>
        <w:jc w:val="center"/>
        <w:rPr>
          <w:rFonts w:ascii="Times New Roman" w:hAnsi="Times New Roman"/>
          <w:b w:val="1"/>
          <w:color w:val="333333"/>
          <w:sz w:val="28"/>
          <w:highlight w:val="white"/>
        </w:rPr>
      </w:pPr>
      <w:r>
        <w:rPr>
          <w:rFonts w:ascii="Times New Roman" w:hAnsi="Times New Roman"/>
          <w:b w:val="1"/>
          <w:color w:val="333333"/>
          <w:sz w:val="28"/>
          <w:highlight w:val="white"/>
        </w:rPr>
        <w:t>С 1 сентября 2025 года вступило в силу новое Положение об особенностях исчисления средней заработной платы</w:t>
      </w:r>
    </w:p>
    <w:p w14:paraId="02000000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Постановлением Правительства Российской Федерации от 24.04.2025 № 540 утверждено Положение об особенностях порядка исчисления средней заработной платы.</w:t>
      </w:r>
    </w:p>
    <w:p w14:paraId="03000000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Так, с 1 сентября 2025 года для расчета среднего заработка будут учитываться все предусмотренные системой оплаты труда виды выплат, применяемые у соответствующего работодателя, независимо от источников этих выплат.</w:t>
      </w:r>
    </w:p>
    <w:p w14:paraId="04000000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При расчете среднего заработка не учитываются выплаты социального характера и иные выплаты, не относящиеся к оплате труда (материальная помощь, оплата стоимости питания, проезда, обучения, коммунальных услуг, отдыха и другие).</w:t>
      </w:r>
    </w:p>
    <w:p w14:paraId="05000000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Расчет среднего заработка работника независимо от режима его работы производится исходя из фактически начисленной ему заработной платы и фактически отработанного им времени за 12 календарных месяцев, предшествующих периоду, в течение которого за работником сохраняется средняя заработная плата. При этом календарным месяцем считается период с 1-го по 30-е (31-е) число соответствующего месяца включительно (в феврале - по 28-е (29-е) число включительно).</w:t>
      </w:r>
    </w:p>
    <w:p w14:paraId="06000000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Из расчётного периода при исчислении среднего заработка исключается время, а также начисленные за это время суммы за периоды простоя, забастовок, дополнительных оплачиваемых выходных дней для ухода за детьми-инвалидами и др.</w:t>
      </w:r>
    </w:p>
    <w:p w14:paraId="07000000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Положением определены случаи, когда при определении среднего заработка используется средний дневной заработок, средний часовой заработок, а также особенности включения в расчёт среднего заработка премий, денежных поощрений и вознаграждений.</w:t>
      </w:r>
    </w:p>
    <w:p w14:paraId="08000000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 xml:space="preserve">Средний месячный заработок работника, отработавшего полностью в расчетный период норму рабочего времени и выполнившего нормы труда (трудовые обязанности), не может быть менее минимального </w:t>
      </w:r>
      <w:r>
        <w:rPr>
          <w:rFonts w:ascii="Times New Roman" w:hAnsi="Times New Roman"/>
          <w:color w:val="333333"/>
          <w:sz w:val="28"/>
          <w:highlight w:val="white"/>
        </w:rPr>
        <w:t>размера оплаты труда</w:t>
      </w:r>
      <w:r>
        <w:rPr>
          <w:rFonts w:ascii="Times New Roman" w:hAnsi="Times New Roman"/>
          <w:color w:val="333333"/>
          <w:sz w:val="28"/>
          <w:highlight w:val="white"/>
        </w:rPr>
        <w:t>, установленного Федеральным законом «О минимальном размере оплаты труда».</w:t>
      </w:r>
    </w:p>
    <w:p w14:paraId="09000000">
      <w:pPr>
        <w:spacing w:line="240" w:lineRule="auto"/>
        <w:ind/>
        <w:jc w:val="both"/>
        <w:rPr>
          <w:rFonts w:ascii="Times New Roman" w:hAnsi="Times New Roman"/>
          <w:color w:val="333333"/>
          <w:sz w:val="28"/>
          <w:highlight w:val="white"/>
        </w:rPr>
      </w:pPr>
    </w:p>
    <w:p w14:paraId="0A000000">
      <w:pPr>
        <w:spacing w:line="240" w:lineRule="auto"/>
        <w:ind/>
        <w:jc w:val="both"/>
        <w:rPr>
          <w:rFonts w:ascii="Times New Roman" w:hAnsi="Times New Roman"/>
          <w:color w:val="333333"/>
          <w:sz w:val="28"/>
          <w:highlight w:val="white"/>
        </w:rPr>
      </w:pPr>
      <w:r>
        <w:rPr>
          <w:rFonts w:ascii="Times New Roman" w:hAnsi="Times New Roman"/>
          <w:sz w:val="28"/>
        </w:rPr>
        <w:t>Прокурор Ромодановского района                                                      И.А. Егоров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Default Paragraph Font"/>
    <w:link w:val="Style_16_ch"/>
  </w:style>
  <w:style w:styleId="Style_16_ch" w:type="character">
    <w:name w:val="Default Paragraph Font"/>
    <w:link w:val="Style_16"/>
  </w:style>
  <w:style w:styleId="Style_17" w:type="paragraph">
    <w:name w:val="toc 8"/>
    <w:next w:val="Style_1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1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1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2025-12-23T15:53:00Z</dcterms:created>
  <dcterms:modified xsi:type="dcterms:W3CDTF">2025-12-23T17:08:40Z</dcterms:modified>
</cp:coreProperties>
</file>