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DCC" w:rsidRPr="003C2DCC" w:rsidRDefault="003C2DCC" w:rsidP="003C2DCC">
      <w:pPr>
        <w:spacing w:line="240" w:lineRule="auto"/>
        <w:jc w:val="left"/>
        <w:rPr>
          <w:rFonts w:ascii="Times New Roman" w:eastAsia="Times New Roman" w:hAnsi="Times New Roman" w:cs="Times New Roman"/>
          <w:sz w:val="24"/>
          <w:szCs w:val="24"/>
          <w:lang w:eastAsia="ru-RU"/>
        </w:rPr>
      </w:pPr>
      <w:r w:rsidRPr="003C2DCC">
        <w:rPr>
          <w:rFonts w:ascii="Arial" w:eastAsia="Times New Roman" w:hAnsi="Arial" w:cs="Arial"/>
          <w:color w:val="2B2B2B"/>
          <w:sz w:val="24"/>
          <w:szCs w:val="24"/>
          <w:shd w:val="clear" w:color="auto" w:fill="FFFFFF"/>
          <w:lang w:eastAsia="ru-RU"/>
        </w:rPr>
        <w:t xml:space="preserve">Основные критерии малого бизнеса — таблица в 2024 году В таблицах мы привели критерии МСП. Критерии по численности Организации и ИП Среднесписочная численность работников за прошлый год Основание Организации легкой промышленности Хозяйственные общества и партнерства, которые соответствуют любому юридическому критерию и производят текстильные изделия, одежду, кожу и изделия из нее. Основной вид деятельности относится к классам 13, 14 и 15 раздела C. Доход от такой деятельности — не менее 70 процентов от общей суммы дохода ЮЛ не более 15 — микро; 16–100 — малые; 101–1000 — средние П. 2.1 ч. 1.1 ст. 4 Закона от 24.07.2007 № 209-ФЗ, постановление Правительства от 22.11.2017 № 1412 Организации и ИП из общепита Хозяйственные общества (товарищества, партнерства), которые соответствуют любому юридическому критерию, производственные и потребительские кооперативы, КФХ, ИП из сферы общественного питания. Основной вид деятельности относится к классу 56 раздела I не более 15 — микро; 16–100 — малые; 101–1500 — средние Подп. 2.2 п. 1.1 ст. 4 Закона от 24.07.2007 № 209-ФЗ Прочие организации и ИП Остальные хозяйственные общества (товарищества, партнерства), которые соответствуют любому юридическому критерию, производственные и потребительские кооперативы, КФХ, ИП не более 15 — микро; 16–100 — малые; 101–250 — средние П. 2 ч. 1.1 ст. 4 Закона от 24.07.2007 № 209-ФЗ Критерии по доходу Организации и ИП Доход за прошлый год Основание Хозяйственные общества (товарищества, партнерства), которые соответствуют любому юридическому критерию, производственные и потребительские кооперативы, КФХ, ИП Доход по данным налогового учета не более: 120 млн руб. — микро; 800 млн руб. — малые; 2 млрд руб. — средние П. 3 ч. 1.1 ст. 4 Закона от 24.07.2007 № 209-ФЗ, постановление Правительства от 04.04.2016 № 265 Юридические критерии  Данные критерии — только для хозяйственных обществ (товариществ, партнерств). В первую очередь проверьте, соответствуете ли вы одному из критериев, приведенных ниже. Если да, примените критерии по численности и доходу. Если не соответствуете, вы не можете быть признаны субъектом МСП. Производственные и потребительские кооперативы, КФХ, ИП эти критерии не применяют, сразу используют критерии по численности и доходу. Организации Критерии и условия Основание Критерий 1. Доля участия* ООО и товарищества Не более 25 процентов уставного (складочного) капитала суммарно принадлежат: — государству, субъектам РФ, муниципальным образованиям; — общественным и религиозным организациям (объединениям); — благотворительным и иным фондам, кроме инвестиционных. Не более 49 процентов уставного (складочного) капитала суммарно принадлежат иностранным организациям или компаниям, которые не являются субъектами МСП подп. «а» п. 1 ч. 1.1 ст. 4 Закона от 24.07.2007 № 209-ФЗ АО Не более 25 процентов голосующих акций суммарно принадлежат: — государству, субъектам РФ; — муниципальным образованиям; — общественным и религиозным организациям (объединениям); — благотворительным и иным фондам, кроме инвестиционных. Не более 49 процентов голосующих акций суммарно принадлежат иностранным организациям или компаниям, которые не являются субъектами МСП подп. «а» п. 1 ч. 1.1 ст. 4 Закона от 24.07.2007 № 209-ФЗ Критерий 2. Инновационные акции АО Акции, обращающиеся на организованном рынке ценных бумаг, отнесены к акциям высокотехнологичного (инновационного) сектора экономики подп. «б» п. 1 ч. 1.1 ст. 4 Закона от 24.07.2007 № 209-ФЗ Критерий 3. Внедрение результатов интеллектуальнойдеятельности Хозяйственные общества и партнерства Практическое применение или внедрение результатов интеллектуальной деятельности — программ, баз данных, изобретений, полезных моделей, </w:t>
      </w:r>
      <w:r w:rsidRPr="003C2DCC">
        <w:rPr>
          <w:rFonts w:ascii="Arial" w:eastAsia="Times New Roman" w:hAnsi="Arial" w:cs="Arial"/>
          <w:color w:val="2B2B2B"/>
          <w:sz w:val="24"/>
          <w:szCs w:val="24"/>
          <w:shd w:val="clear" w:color="auto" w:fill="FFFFFF"/>
          <w:lang w:eastAsia="ru-RU"/>
        </w:rPr>
        <w:lastRenderedPageBreak/>
        <w:t xml:space="preserve">промышленных образцов, селекционных достижений, топологий интегральных микросхем, секретов производства (ноу-хау). Исключительные права на такие результаты интеллектуальной деятельности принадлежат учредителям (участникам) — бюджетным, автономным научным учреждениям либо образовательным организациям высшего образования, которые являются бюджетными учреждениями, автономными учреждениями подп. «в» п. 1 ч. 1.1 ст. 4 Закона от 24.07.2007 № 209-ФЗ Критерий 4. Статус участника «Сколково» Хозяйственные общества и партнерства Наличие статуса участника проекта в соответствии с Законом от 28.09.2010 № 244-ФЗ «Об инновационном центре "Сколково"» подп. «г» п. 1 ч. 1.1 ст. 4 Закона от 24.07.2007 № 209-ФЗ Критерий 5. Учредители из правительственного перечня Хозяйственные общества и партнерства Учредители (участники) — юрлица, которые предоставляют государственную поддержку инновационной деятельности в формах, установленных Законом от 23.08.1996 № 127-ФЗ. Их перечень утвержден распоряжением Правительства от 25.07.2015 № 1459-р. В нем два юрлица: АО «РОСНАНО» и Фонд инфраструктурных и образовательных программ подп. «д» п. 1 ч. 1.1 ст. 4 Закона от 24.07.2007 № 209-ФЗ Критерий 6. Участники — общероссийские общественные объединения инвалидов ООО Участники — только общероссийские общественные объединения инвалидов, их отделения. При этом должны выполняться дополнительные условия. За предшествующий календарный год: среднесписочная численность инвалидов по отношению к другим работникам составляет не менее 50 процентов; доля оплаты труда инвалидов в фонде оплаты труда — не менее 25 процентов подп. «ж» п. 1 ч. 1.1 ст. 4 Закона от 24.07.2007 № 209-ФЗ * При определении суммарных долей участия в расчете не участвуют доли общественных организаций инвалидов — для предела 25 процентов, а также иностранных юридических лиц, которые не являются офшорными и соответствуют критериям среднего бизнеса по показателям дохода и среднесписочной численности, — для предела 49 процентов (подп. «а» п. 1 ч. 1.1 ст. 4 Закона от 24.07.2007 № 209-ФЗ). Доля участия не имеет значения, если потенциальный субъект МСП соответствует критериям 2–6, то есть является одним из субъектов, указанных в подпунктах «б»—«д», «ж» пункта 1.1 статьи 4 Закона № 209-ФЗ (подп. «а» п. 1 ч. 1.1 ст. 4 Закона от 24.07.2007 № 209-ФЗ). Подтверждение субъекта малого предпринимательства  Действующее законодательство не предусматривает какой-либо отдельный учет либо регистрацию субъектов малого бизнеса. Какими-либо документами статус «малыша» также не подтверждается. Достаточно того, что фирма или коммерсант подпадает под установленные критерии. Выручку подтвердят налоговые регистры. При УСН это Книга учета. Она утверждена приказом Минфина России от 22.10.2012 № 135н. Также понадобится расчет средней численности работников фирмы. Заметим, что на УСН эти показатели нужно отслеживать постоянно, чтобы не «слететь» со спецрежима. А не только для того, чтобы проверить, относитесь ли вы к малому бизнесу. Состав учредителей поможет определить решение об учреждении ООО или выписка из Единого госреестра юрлиц (ст. 11 Федерального закона от 08.02.98 № 14ФЗ «Об обществах с ограниченной ответственностью»). Соответствующая информация у вас может присутствовать и на счетах бухучета. Согласно Инструкции к Плану счетов бухучета аналитический учет по счету 80 «Уставный капитал» организуется таким образом, чтобы, в частности, обеспечивать формирование информации по учредителям организации и стадиям формирования капитала. Однако проще всего подтвердить, малый бизнес вы или нет, с помощью реестра малого бизнеса. Сделать это можно за одну минуту в сервисе "Главбух. Контрагенты" в сервисе Главбух.Контрагенты. Там есть полный список льгот, как </w:t>
      </w:r>
      <w:r w:rsidRPr="003C2DCC">
        <w:rPr>
          <w:rFonts w:ascii="Arial" w:eastAsia="Times New Roman" w:hAnsi="Arial" w:cs="Arial"/>
          <w:color w:val="2B2B2B"/>
          <w:sz w:val="24"/>
          <w:szCs w:val="24"/>
          <w:shd w:val="clear" w:color="auto" w:fill="FFFFFF"/>
          <w:lang w:eastAsia="ru-RU"/>
        </w:rPr>
        <w:lastRenderedPageBreak/>
        <w:t>региональных, так и федеральных — в том числе мы добавили список ОКВЭД компаний, которые получили кредитные каникулы. Чтобы узнать, на какие льготы может претендовать ваша компания, воспользуйтесь бесплатным доступом к сервису «Главбух Контрагенты». Просто вводите ИНН в строке поиска и смотрите, какие нормы действуют в регионе и какой поддержкой ваша компания может воспользоваться уже сейчас.</w:t>
      </w:r>
    </w:p>
    <w:p w:rsidR="003C2DCC" w:rsidRPr="003C2DCC" w:rsidRDefault="003C2DCC" w:rsidP="003C2DCC">
      <w:pPr>
        <w:shd w:val="clear" w:color="auto" w:fill="FFFFFF"/>
        <w:spacing w:after="150" w:line="240" w:lineRule="auto"/>
        <w:jc w:val="left"/>
        <w:rPr>
          <w:rFonts w:ascii="Arial" w:eastAsia="Times New Roman" w:hAnsi="Arial" w:cs="Arial"/>
          <w:color w:val="2B2B2B"/>
          <w:sz w:val="24"/>
          <w:szCs w:val="24"/>
          <w:lang w:eastAsia="ru-RU"/>
        </w:rPr>
      </w:pPr>
      <w:r w:rsidRPr="003C2DCC">
        <w:rPr>
          <w:rFonts w:ascii="Arial" w:eastAsia="Times New Roman" w:hAnsi="Arial" w:cs="Arial"/>
          <w:color w:val="2B2B2B"/>
          <w:sz w:val="24"/>
          <w:szCs w:val="24"/>
          <w:lang w:eastAsia="ru-RU"/>
        </w:rPr>
        <w:t>Источник: </w:t>
      </w:r>
      <w:hyperlink r:id="rId4" w:history="1">
        <w:r w:rsidRPr="003C2DCC">
          <w:rPr>
            <w:rFonts w:ascii="Arial" w:eastAsia="Times New Roman" w:hAnsi="Arial" w:cs="Arial"/>
            <w:color w:val="186185"/>
            <w:sz w:val="24"/>
            <w:szCs w:val="24"/>
            <w:u w:val="single"/>
            <w:lang w:eastAsia="ru-RU"/>
          </w:rPr>
          <w:t>https://www.26-2.ru/art/357381-novye-kriterii-malogo-biznesa-v-rossii-na-2024-god</w:t>
        </w:r>
      </w:hyperlink>
    </w:p>
    <w:p w:rsidR="003C2DCC" w:rsidRPr="003C2DCC" w:rsidRDefault="003C2DCC" w:rsidP="003C2DCC">
      <w:pPr>
        <w:shd w:val="clear" w:color="auto" w:fill="FFFFFF"/>
        <w:spacing w:after="150" w:line="240" w:lineRule="auto"/>
        <w:jc w:val="left"/>
        <w:rPr>
          <w:rFonts w:ascii="Arial" w:eastAsia="Times New Roman" w:hAnsi="Arial" w:cs="Arial"/>
          <w:color w:val="2B2B2B"/>
          <w:sz w:val="24"/>
          <w:szCs w:val="24"/>
          <w:lang w:eastAsia="ru-RU"/>
        </w:rPr>
      </w:pPr>
      <w:r w:rsidRPr="003C2DCC">
        <w:rPr>
          <w:rFonts w:ascii="Arial" w:eastAsia="Times New Roman" w:hAnsi="Arial" w:cs="Arial"/>
          <w:color w:val="2B2B2B"/>
          <w:sz w:val="24"/>
          <w:szCs w:val="24"/>
          <w:lang w:eastAsia="ru-RU"/>
        </w:rPr>
        <w:t>Любое использование материалов допускается только при наличии гиперссылки</w:t>
      </w:r>
    </w:p>
    <w:p w:rsidR="00221A51" w:rsidRDefault="00221A51"/>
    <w:sectPr w:rsidR="00221A51" w:rsidSect="00221A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3C2DCC"/>
    <w:rsid w:val="00221A51"/>
    <w:rsid w:val="0028602A"/>
    <w:rsid w:val="003C2DCC"/>
    <w:rsid w:val="004973A3"/>
    <w:rsid w:val="00736AF0"/>
    <w:rsid w:val="0084322D"/>
    <w:rsid w:val="009027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1A5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C2DCC"/>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C2DCC"/>
    <w:rPr>
      <w:color w:val="0000FF"/>
      <w:u w:val="single"/>
    </w:rPr>
  </w:style>
</w:styles>
</file>

<file path=word/webSettings.xml><?xml version="1.0" encoding="utf-8"?>
<w:webSettings xmlns:r="http://schemas.openxmlformats.org/officeDocument/2006/relationships" xmlns:w="http://schemas.openxmlformats.org/wordprocessingml/2006/main">
  <w:divs>
    <w:div w:id="1176185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26-2.ru/art/357381-novye-kriterii-malogo-biznesa-v-rossii-na-2024-go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1201</Words>
  <Characters>6848</Characters>
  <Application>Microsoft Office Word</Application>
  <DocSecurity>0</DocSecurity>
  <Lines>57</Lines>
  <Paragraphs>16</Paragraphs>
  <ScaleCrop>false</ScaleCrop>
  <Company/>
  <LinksUpToDate>false</LinksUpToDate>
  <CharactersWithSpaces>8033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dc:creator>
  <cp:lastModifiedBy>Админ</cp:lastModifiedBy>
  <cp:revision>2</cp:revision>
  <dcterms:created xsi:type="dcterms:W3CDTF">2026-05-22T09:04:00Z</dcterms:created>
  <dcterms:modified xsi:type="dcterms:W3CDTF">2026-05-22T09:04:00Z</dcterms:modified>
</cp:coreProperties>
</file>