
<file path=[Content_Types].xml><?xml version="1.0" encoding="utf-8"?>
<Types xmlns="http://schemas.openxmlformats.org/package/2006/content-types">
  <Default ContentType="image/png" Extension="png"/>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footer+xml" PartName="/word/footer4.xml"/>
  <Override ContentType="application/vnd.openxmlformats-officedocument.wordprocessingml.footer+xml" PartName="/word/footer6.xml"/>
  <Override ContentType="application/vnd.openxmlformats-officedocument.wordprocessingml.header+xml" PartName="/word/header1.xml"/>
  <Override ContentType="application/vnd.openxmlformats-officedocument.wordprocessingml.header+xml" PartName="/word/header3.xml"/>
  <Override ContentType="application/vnd.openxmlformats-officedocument.wordprocessingml.header+xml" PartName="/word/header5.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tbl>
      <w:tblPr>
        <w:tblStyle w:val="Style_4"/>
        <w:tblW w:type="auto" w:w="0"/>
        <w:tblBorders>
          <w:top w:color="000000" w:sz="4" w:val="nil"/>
          <w:left w:color="000000" w:sz="4" w:val="nil"/>
          <w:bottom w:color="000000" w:sz="4" w:val="nil"/>
          <w:right w:color="000000" w:sz="4" w:val="nil"/>
          <w:insideH w:color="000000" w:sz="4" w:val="nil"/>
          <w:insideV w:color="000000" w:sz="4" w:val="nil"/>
        </w:tblBorders>
        <w:tblLayout w:type="fixed"/>
      </w:tblPr>
      <w:tblGrid>
        <w:gridCol w:w="5387"/>
        <w:gridCol w:w="4252"/>
      </w:tblGrid>
      <w:tr>
        <w:trPr>
          <w:trHeight w:hRule="atLeast" w:val="3118"/>
        </w:trPr>
        <w:tc>
          <w:tcPr>
            <w:tcW w:type="dxa" w:w="5387"/>
            <w:tcBorders>
              <w:top w:color="000000" w:sz="4" w:val="nil"/>
              <w:left w:color="000000" w:sz="4" w:val="nil"/>
              <w:bottom w:color="000000" w:sz="4" w:val="nil"/>
              <w:right w:color="000000" w:sz="4" w:val="nil"/>
            </w:tcBorders>
            <w:tcMar>
              <w:left w:type="dxa" w:w="0"/>
              <w:right w:type="dxa" w:w="0"/>
            </w:tcMar>
          </w:tcPr>
          <w:p w14:paraId="0A000000">
            <w:pPr>
              <w:widowControl w:val="0"/>
              <w:tabs>
                <w:tab w:leader="none" w:pos="4784" w:val="right"/>
              </w:tabs>
              <w:ind/>
              <w:jc w:val="both"/>
              <w:rPr>
                <w:color w:themeColor="background1" w:val="FFFFFF"/>
              </w:rPr>
            </w:pPr>
          </w:p>
          <w:p w14:paraId="0B000000">
            <w:pPr>
              <w:widowControl w:val="0"/>
              <w:tabs>
                <w:tab w:leader="none" w:pos="4330" w:val="left"/>
              </w:tabs>
              <w:ind/>
            </w:pPr>
          </w:p>
        </w:tc>
        <w:tc>
          <w:tcPr>
            <w:tcW w:type="dxa" w:w="4252"/>
            <w:vMerge w:val="restart"/>
            <w:tcBorders>
              <w:top w:color="000000" w:sz="4" w:val="nil"/>
              <w:left w:color="000000" w:sz="4" w:val="nil"/>
              <w:bottom w:color="000000" w:sz="4" w:val="nil"/>
              <w:right w:color="000000" w:sz="4" w:val="nil"/>
            </w:tcBorders>
            <w:tcMar>
              <w:left w:type="dxa" w:w="0"/>
              <w:right w:type="dxa" w:w="0"/>
            </w:tcMar>
          </w:tcPr>
          <w:p w14:paraId="0C000000">
            <w:pPr>
              <w:widowControl w:val="0"/>
              <w:spacing w:after="0" w:line="240" w:lineRule="exact"/>
              <w:ind/>
              <w:rPr>
                <w:rFonts w:ascii="Times New Roman" w:hAnsi="Times New Roman"/>
                <w:color w:val="000000"/>
                <w:sz w:val="28"/>
              </w:rPr>
            </w:pPr>
          </w:p>
          <w:p w14:paraId="0D000000">
            <w:pPr>
              <w:widowControl w:val="0"/>
              <w:spacing w:after="0" w:line="240" w:lineRule="exact"/>
              <w:ind/>
              <w:rPr>
                <w:rFonts w:ascii="Times New Roman" w:hAnsi="Times New Roman"/>
                <w:color w:val="000000"/>
                <w:sz w:val="28"/>
              </w:rPr>
            </w:pPr>
            <w:r>
              <w:rPr>
                <w:rFonts w:ascii="Times New Roman" w:hAnsi="Times New Roman"/>
                <w:color w:val="000000"/>
                <w:sz w:val="28"/>
              </w:rPr>
              <w:t xml:space="preserve">Главе Ромодановского района </w:t>
            </w:r>
          </w:p>
          <w:p w14:paraId="0E000000">
            <w:pPr>
              <w:widowControl w:val="0"/>
              <w:spacing w:after="0" w:line="240" w:lineRule="exact"/>
              <w:ind/>
              <w:rPr>
                <w:rFonts w:ascii="Times New Roman" w:hAnsi="Times New Roman"/>
                <w:color w:val="000000"/>
                <w:sz w:val="28"/>
              </w:rPr>
            </w:pPr>
          </w:p>
          <w:p w14:paraId="0F000000">
            <w:pPr>
              <w:widowControl w:val="0"/>
              <w:spacing w:after="0" w:line="240" w:lineRule="exact"/>
              <w:ind/>
              <w:rPr>
                <w:rFonts w:ascii="Times New Roman" w:hAnsi="Times New Roman"/>
                <w:color w:val="000000"/>
                <w:sz w:val="28"/>
              </w:rPr>
            </w:pPr>
            <w:r>
              <w:rPr>
                <w:rFonts w:ascii="Times New Roman" w:hAnsi="Times New Roman"/>
                <w:color w:val="000000"/>
                <w:sz w:val="28"/>
              </w:rPr>
              <w:t>Ведяшкину С.В.</w:t>
            </w:r>
          </w:p>
          <w:p w14:paraId="10000000">
            <w:pPr>
              <w:widowControl w:val="0"/>
              <w:spacing w:after="0" w:line="240" w:lineRule="exact"/>
              <w:ind/>
              <w:rPr>
                <w:rFonts w:ascii="Times New Roman" w:hAnsi="Times New Roman"/>
                <w:color w:val="000000"/>
                <w:sz w:val="28"/>
              </w:rPr>
            </w:pPr>
          </w:p>
          <w:p w14:paraId="11000000">
            <w:pPr>
              <w:widowControl w:val="0"/>
              <w:spacing w:after="0" w:line="240" w:lineRule="exact"/>
              <w:ind/>
              <w:rPr>
                <w:rFonts w:ascii="Times New Roman" w:hAnsi="Times New Roman"/>
                <w:color w:val="000000"/>
                <w:sz w:val="28"/>
              </w:rPr>
            </w:pPr>
          </w:p>
          <w:p w14:paraId="12000000">
            <w:pPr>
              <w:widowControl w:val="0"/>
              <w:spacing w:after="0" w:line="240" w:lineRule="exact"/>
              <w:ind/>
              <w:rPr>
                <w:rFonts w:ascii="Times New Roman" w:hAnsi="Times New Roman"/>
                <w:color w:val="000000"/>
                <w:sz w:val="28"/>
              </w:rPr>
            </w:pPr>
            <w:r>
              <w:rPr>
                <w:rFonts w:ascii="Times New Roman" w:hAnsi="Times New Roman"/>
                <w:color w:val="000000"/>
                <w:sz w:val="28"/>
              </w:rPr>
              <w:t>Главам сельских поселений Ромодановского района</w:t>
            </w:r>
          </w:p>
        </w:tc>
      </w:tr>
      <w:tr>
        <w:trPr>
          <w:trHeight w:hRule="atLeast" w:val="454"/>
        </w:trPr>
        <w:tc>
          <w:tcPr>
            <w:tcW w:type="dxa" w:w="5387"/>
            <w:tcBorders>
              <w:top w:color="000000" w:sz="4" w:val="nil"/>
              <w:left w:color="000000" w:sz="4" w:val="nil"/>
              <w:bottom w:color="000000" w:sz="4" w:val="nil"/>
              <w:right w:color="000000" w:sz="4" w:val="nil"/>
            </w:tcBorders>
            <w:tcMar>
              <w:left w:type="dxa" w:w="0"/>
              <w:right w:type="dxa" w:w="0"/>
            </w:tcMar>
          </w:tcPr>
          <w:p w14:paraId="13000000">
            <w:pPr>
              <w:widowControl w:val="0"/>
              <w:tabs>
                <w:tab w:leader="none" w:pos="4784" w:val="right"/>
              </w:tabs>
              <w:ind/>
              <w:jc w:val="both"/>
              <w:rPr>
                <w:color w:themeColor="background1" w:val="FFFFFF"/>
              </w:rPr>
            </w:pPr>
            <w:bookmarkStart w:id="3" w:name="REGNUMDATESTAMP"/>
            <w:r>
              <w:rPr>
                <w:color w:val="D9D9D9"/>
                <w:sz w:val="22"/>
              </w:rPr>
              <w:t>штамп регистрации</w:t>
            </w:r>
            <w:bookmarkEnd w:id="3"/>
          </w:p>
        </w:tc>
        <w:tc>
          <w:tcPr>
            <w:tcW w:type="dxa" w:w="4252"/>
            <w:gridSpan w:val="1"/>
            <w:vMerge w:val="continue"/>
            <w:tcBorders>
              <w:top w:color="000000" w:sz="4" w:val="nil"/>
              <w:left w:color="000000" w:sz="4" w:val="nil"/>
              <w:bottom w:color="000000" w:sz="4" w:val="nil"/>
              <w:right w:color="000000" w:sz="4" w:val="nil"/>
            </w:tcBorders>
            <w:tcMar>
              <w:left w:type="dxa" w:w="0"/>
              <w:right w:type="dxa" w:w="0"/>
            </w:tcMar>
          </w:tcPr>
          <w:p/>
        </w:tc>
      </w:tr>
      <w:tr>
        <w:trPr>
          <w:trHeight w:hRule="atLeast" w:val="20"/>
        </w:trPr>
        <w:tc>
          <w:tcPr>
            <w:tcW w:type="dxa" w:w="5387"/>
            <w:tcBorders>
              <w:top w:color="000000" w:sz="4" w:val="nil"/>
              <w:left w:color="000000" w:sz="4" w:val="nil"/>
              <w:bottom w:color="000000" w:sz="4" w:val="nil"/>
              <w:right w:color="000000" w:sz="4" w:val="nil"/>
            </w:tcBorders>
            <w:tcMar>
              <w:left w:type="dxa" w:w="0"/>
              <w:right w:type="dxa" w:w="0"/>
            </w:tcMar>
          </w:tcPr>
          <w:p w14:paraId="14000000">
            <w:pPr>
              <w:widowControl w:val="0"/>
              <w:spacing w:line="240" w:lineRule="exact"/>
              <w:ind/>
              <w:rPr>
                <w:color w:themeColor="background1" w:val="FFFFFF"/>
              </w:rPr>
            </w:pPr>
          </w:p>
        </w:tc>
        <w:tc>
          <w:tcPr>
            <w:tcW w:type="dxa" w:w="4252"/>
            <w:gridSpan w:val="1"/>
            <w:vMerge w:val="continue"/>
            <w:tcBorders>
              <w:top w:color="000000" w:sz="4" w:val="nil"/>
              <w:left w:color="000000" w:sz="4" w:val="nil"/>
              <w:bottom w:color="000000" w:sz="4" w:val="nil"/>
              <w:right w:color="000000" w:sz="4" w:val="nil"/>
            </w:tcBorders>
            <w:tcMar>
              <w:left w:type="dxa" w:w="0"/>
              <w:right w:type="dxa" w:w="0"/>
            </w:tcMar>
          </w:tcPr>
          <w:p/>
        </w:tc>
      </w:tr>
    </w:tbl>
    <w:p w14:paraId="15000000">
      <w:pPr>
        <w:widowControl w:val="0"/>
        <w:tabs>
          <w:tab w:leader="none" w:pos="4784" w:val="right"/>
        </w:tabs>
        <w:ind/>
        <w:jc w:val="both"/>
      </w:pPr>
      <w:r>
        <mc:AlternateContent>
          <mc:Choice Requires="wps">
            <w:draw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wp:anchor allowOverlap="true" behindDoc="false" distB="0" distL="114300" distR="114300" distT="0" layoutInCell="true" locked="false" relativeHeight="251658240" simplePos="false">
                <wp:simplePos x="0" y="0"/>
                <wp:positionH relativeFrom="margin">
                  <wp:posOffset>5715</wp:posOffset>
                </wp:positionH>
                <wp:positionV relativeFrom="page">
                  <wp:posOffset>9524</wp:posOffset>
                </wp:positionV>
                <wp:extent cx="2339975" cy="2676525"/>
                <wp:wrapNone/>
                <wp:docPr hidden="false" id="1" name="Picture 1"/>
                <a:graphic>
                  <a:graphicData uri="http://schemas.microsoft.com/office/word/2010/wordprocessingShape">
                    <wps:wsp>
                      <wps:cNvSpPr txBox="false"/>
                      <wps:spPr>
                        <a:xfrm flipH="false" flipV="false" rot="0">
                          <a:off x="0" y="0"/>
                          <a:ext cx="2339975" cy="2676525"/>
                        </a:xfrm>
                        <a:prstGeom prst="rect">
                          <a:avLst/>
                        </a:prstGeom>
                        <a:noFill/>
                        <a:ln>
                          <a:noFill/>
                        </a:ln>
                      </wps:spPr>
                      <wps:txbx>
                        <w:txbxContent>
                          <w:sdt>
                            <w:sdtPr>
                              <w:lock w:val="sdtContentLocked"/>
                            </w:sdtPr>
                            <w:sdtContent>
                              <w:p w14:paraId="16000000">
                                <w:pPr>
                                  <w:pStyle w:val="Style_5"/>
                                  <w:widowControl w:val="0"/>
                                  <w:spacing w:line="240" w:lineRule="exact"/>
                                  <w:ind/>
                                  <w:jc w:val="center"/>
                                  <w:rPr>
                                    <w:b w:val="1"/>
                                    <w:color w:val="000000"/>
                                    <w:spacing w:val="0"/>
                                  </w:rPr>
                                </w:pPr>
                              </w:p>
                              <w:p w14:paraId="17000000">
                                <w:pPr>
                                  <w:pStyle w:val="Style_5"/>
                                  <w:widowControl w:val="0"/>
                                  <w:ind/>
                                  <w:jc w:val="center"/>
                                  <w:rPr>
                                    <w:b w:val="1"/>
                                    <w:color w:val="000000"/>
                                    <w:spacing w:val="0"/>
                                    <w:sz w:val="16"/>
                                  </w:rPr>
                                </w:pPr>
                              </w:p>
                              <w:p w14:paraId="18000000">
                                <w:pPr>
                                  <w:pStyle w:val="Style_5"/>
                                  <w:widowControl w:val="0"/>
                                  <w:ind/>
                                  <w:jc w:val="center"/>
                                  <w:rPr>
                                    <w:b w:val="1"/>
                                    <w:color w:val="000000"/>
                                    <w:spacing w:val="0"/>
                                    <w:sz w:val="16"/>
                                  </w:rPr>
                                </w:pPr>
                              </w:p>
                              <w:p w14:paraId="19000000">
                                <w:pPr>
                                  <w:pStyle w:val="Style_5"/>
                                  <w:widowControl w:val="0"/>
                                  <w:ind/>
                                  <w:jc w:val="center"/>
                                  <w:rPr>
                                    <w:b w:val="1"/>
                                    <w:color w:val="000000"/>
                                    <w:spacing w:val="0"/>
                                    <w:sz w:val="16"/>
                                  </w:rPr>
                                </w:pPr>
                              </w:p>
                              <w:p w14:paraId="1A000000">
                                <w:pPr>
                                  <w:pStyle w:val="Style_5"/>
                                  <w:widowControl w:val="0"/>
                                  <w:ind/>
                                  <w:jc w:val="center"/>
                                  <w:rPr>
                                    <w:b w:val="1"/>
                                    <w:color w:val="000000"/>
                                    <w:spacing w:val="0"/>
                                    <w:sz w:val="16"/>
                                  </w:rPr>
                                </w:pPr>
                              </w:p>
                              <w:p w14:paraId="1B000000">
                                <w:pPr>
                                  <w:pStyle w:val="Style_5"/>
                                  <w:widowControl w:val="0"/>
                                  <w:ind/>
                                  <w:jc w:val="center"/>
                                  <w:rPr>
                                    <w:b w:val="1"/>
                                    <w:color w:val="000000"/>
                                    <w:spacing w:val="0"/>
                                    <w:sz w:val="16"/>
                                  </w:rPr>
                                </w:pPr>
                              </w:p>
                              <w:p w14:paraId="1C000000">
                                <w:pPr>
                                  <w:pStyle w:val="Style_5"/>
                                  <w:widowControl w:val="0"/>
                                  <w:ind/>
                                  <w:jc w:val="center"/>
                                  <w:rPr>
                                    <w:b w:val="1"/>
                                    <w:color w:val="000000"/>
                                    <w:spacing w:val="0"/>
                                    <w:sz w:val="16"/>
                                  </w:rPr>
                                </w:pPr>
                              </w:p>
                              <w:p w14:paraId="1D000000">
                                <w:pPr>
                                  <w:pStyle w:val="Style_5"/>
                                  <w:widowControl w:val="0"/>
                                  <w:ind/>
                                  <w:jc w:val="center"/>
                                  <w:rPr>
                                    <w:b w:val="1"/>
                                    <w:color w:val="000000"/>
                                    <w:spacing w:val="0"/>
                                    <w:sz w:val="16"/>
                                  </w:rPr>
                                </w:pPr>
                              </w:p>
                              <w:p w14:paraId="1E000000">
                                <w:pPr>
                                  <w:pStyle w:val="Style_5"/>
                                  <w:keepNext w:val="1"/>
                                  <w:widowControl w:val="0"/>
                                  <w:spacing w:line="240" w:lineRule="exact"/>
                                  <w:ind w:right="-356"/>
                                  <w:jc w:val="center"/>
                                  <w:outlineLvl w:val="2"/>
                                  <w:rPr>
                                    <w:color w:val="000000"/>
                                    <w:spacing w:val="0"/>
                                  </w:rPr>
                                </w:pPr>
                                <w:r>
                                  <w:rPr>
                                    <w:color w:val="000000"/>
                                    <w:spacing w:val="0"/>
                                  </w:rPr>
                                  <w:t>Прокуратура</w:t>
                                </w:r>
                              </w:p>
                              <w:p w14:paraId="1F000000">
                                <w:pPr>
                                  <w:pStyle w:val="Style_6"/>
                                  <w:widowControl w:val="0"/>
                                  <w:spacing w:line="240" w:lineRule="exact"/>
                                  <w:ind w:right="-356"/>
                                  <w:jc w:val="center"/>
                                  <w:rPr>
                                    <w:b w:val="0"/>
                                    <w:color w:val="000000"/>
                                    <w:spacing w:val="0"/>
                                    <w:sz w:val="28"/>
                                  </w:rPr>
                                </w:pPr>
                                <w:r>
                                  <w:rPr>
                                    <w:b w:val="0"/>
                                    <w:color w:val="000000"/>
                                    <w:spacing w:val="0"/>
                                    <w:sz w:val="28"/>
                                  </w:rPr>
                                  <w:t>Российской Федерации</w:t>
                                </w:r>
                              </w:p>
                              <w:p w14:paraId="20000000">
                                <w:pPr>
                                  <w:pStyle w:val="Style_7"/>
                                  <w:widowControl w:val="0"/>
                                  <w:spacing w:before="120" w:line="240" w:lineRule="exact"/>
                                  <w:ind w:right="-356"/>
                                  <w:rPr>
                                    <w:b w:val="0"/>
                                    <w:color w:val="000000"/>
                                    <w:spacing w:val="0"/>
                                    <w:sz w:val="28"/>
                                  </w:rPr>
                                </w:pPr>
                                <w:r>
                                  <w:rPr>
                                    <w:b w:val="0"/>
                                    <w:color w:val="000000"/>
                                    <w:spacing w:val="0"/>
                                    <w:sz w:val="28"/>
                                  </w:rPr>
                                  <w:t>Прокуратура</w:t>
                                </w:r>
                              </w:p>
                              <w:p w14:paraId="21000000">
                                <w:pPr>
                                  <w:pStyle w:val="Style_7"/>
                                  <w:widowControl w:val="0"/>
                                  <w:spacing w:line="240" w:lineRule="exact"/>
                                  <w:ind w:right="-356"/>
                                  <w:rPr>
                                    <w:b w:val="0"/>
                                    <w:color w:val="000000"/>
                                    <w:spacing w:val="0"/>
                                    <w:sz w:val="28"/>
                                  </w:rPr>
                                </w:pPr>
                                <w:r>
                                  <w:rPr>
                                    <w:b w:val="0"/>
                                    <w:color w:val="000000"/>
                                    <w:spacing w:val="0"/>
                                    <w:sz w:val="28"/>
                                  </w:rPr>
                                  <w:t>Республики Мордовия</w:t>
                                </w:r>
                              </w:p>
                              <w:p w14:paraId="22000000">
                                <w:pPr>
                                  <w:pStyle w:val="Style_5"/>
                                  <w:widowControl w:val="0"/>
                                  <w:tabs>
                                    <w:tab w:leader="none" w:pos="1005" w:val="left"/>
                                  </w:tabs>
                                  <w:spacing w:before="120" w:line="240" w:lineRule="exact"/>
                                  <w:ind w:right="-356"/>
                                  <w:jc w:val="center"/>
                                  <w:rPr>
                                    <w:b w:val="1"/>
                                    <w:color w:val="000000"/>
                                    <w:spacing w:val="0"/>
                                  </w:rPr>
                                </w:pPr>
                                <w:r>
                                  <w:rPr>
                                    <w:b w:val="1"/>
                                    <w:color w:val="000000"/>
                                    <w:spacing w:val="0"/>
                                  </w:rPr>
                                  <w:t>Прокуратура</w:t>
                                </w:r>
                                <w:r>
                                  <w:rPr>
                                    <w:b w:val="1"/>
                                    <w:color w:val="000000"/>
                                    <w:spacing w:val="0"/>
                                  </w:rPr>
                                  <w:br/>
                                </w:r>
                                <w:r>
                                  <w:rPr>
                                    <w:b w:val="1"/>
                                    <w:color w:val="000000"/>
                                    <w:spacing w:val="0"/>
                                  </w:rPr>
                                  <w:t>Ромодановского района</w:t>
                                </w:r>
                              </w:p>
                              <w:p w14:paraId="23000000">
                                <w:pPr>
                                  <w:pStyle w:val="Style_8"/>
                                  <w:widowControl w:val="0"/>
                                  <w:spacing w:line="240" w:lineRule="exact"/>
                                  <w:ind w:right="-356"/>
                                  <w:jc w:val="center"/>
                                  <w:rPr>
                                    <w:color w:val="000000"/>
                                    <w:spacing w:val="0"/>
                                    <w:sz w:val="20"/>
                                  </w:rPr>
                                </w:pPr>
                                <w:r>
                                  <w:rPr>
                                    <w:color w:val="000000"/>
                                    <w:spacing w:val="0"/>
                                    <w:sz w:val="20"/>
                                  </w:rPr>
                                  <w:t xml:space="preserve">ул. Ленина, 157, п. Ромоданово, </w:t>
                                </w:r>
                                <w:r>
                                  <w:rPr>
                                    <w:color w:val="000000"/>
                                    <w:spacing w:val="0"/>
                                    <w:sz w:val="20"/>
                                  </w:rPr>
                                  <w:br/>
                                </w:r>
                                <w:r>
                                  <w:rPr>
                                    <w:color w:val="000000"/>
                                    <w:spacing w:val="0"/>
                                    <w:sz w:val="20"/>
                                  </w:rPr>
                                  <w:t>Республика Мордовия, 431600</w:t>
                                </w:r>
                                <w:r>
                                  <w:rPr>
                                    <w:color w:val="000000"/>
                                    <w:spacing w:val="0"/>
                                    <w:sz w:val="20"/>
                                  </w:rPr>
                                  <w:br/>
                                </w:r>
                                <w:r>
                                  <w:rPr>
                                    <w:color w:val="000000"/>
                                    <w:spacing w:val="0"/>
                                    <w:sz w:val="20"/>
                                  </w:rPr>
                                  <w:t>тел</w:t>
                                </w:r>
                                <w:r>
                                  <w:rPr>
                                    <w:color w:val="000000"/>
                                    <w:spacing w:val="0"/>
                                    <w:sz w:val="20"/>
                                  </w:rPr>
                                  <w:t>./</w:t>
                                </w:r>
                                <w:r>
                                  <w:rPr>
                                    <w:color w:val="000000"/>
                                    <w:spacing w:val="0"/>
                                    <w:sz w:val="20"/>
                                  </w:rPr>
                                  <w:t>факс</w:t>
                                </w:r>
                                <w:r>
                                  <w:rPr>
                                    <w:color w:val="000000"/>
                                    <w:spacing w:val="0"/>
                                    <w:sz w:val="20"/>
                                  </w:rPr>
                                  <w:t xml:space="preserve"> (8-834-</w:t>
                                </w:r>
                                <w:r>
                                  <w:rPr>
                                    <w:color w:val="000000"/>
                                    <w:spacing w:val="0"/>
                                    <w:sz w:val="20"/>
                                  </w:rPr>
                                  <w:t>38</w:t>
                                </w:r>
                                <w:r>
                                  <w:rPr>
                                    <w:color w:val="000000"/>
                                    <w:spacing w:val="0"/>
                                    <w:sz w:val="20"/>
                                  </w:rPr>
                                  <w:t>)</w:t>
                                </w:r>
                                <w:r>
                                  <w:rPr>
                                    <w:color w:val="000000"/>
                                    <w:spacing w:val="0"/>
                                    <w:sz w:val="20"/>
                                  </w:rPr>
                                  <w:t xml:space="preserve"> 2</w:t>
                                </w:r>
                                <w:r>
                                  <w:rPr>
                                    <w:color w:val="000000"/>
                                    <w:spacing w:val="0"/>
                                    <w:sz w:val="20"/>
                                  </w:rPr>
                                  <w:t>-</w:t>
                                </w:r>
                                <w:r>
                                  <w:rPr>
                                    <w:color w:val="000000"/>
                                    <w:spacing w:val="0"/>
                                    <w:sz w:val="20"/>
                                  </w:rPr>
                                  <w:t>90</w:t>
                                </w:r>
                                <w:r>
                                  <w:rPr>
                                    <w:color w:val="000000"/>
                                    <w:spacing w:val="0"/>
                                    <w:sz w:val="20"/>
                                  </w:rPr>
                                  <w:t>-</w:t>
                                </w:r>
                                <w:r>
                                  <w:rPr>
                                    <w:color w:val="000000"/>
                                    <w:spacing w:val="0"/>
                                    <w:sz w:val="20"/>
                                  </w:rPr>
                                  <w:t>52</w:t>
                                </w:r>
                                <w:r>
                                  <w:rPr>
                                    <w:color w:val="000000"/>
                                    <w:spacing w:val="0"/>
                                    <w:sz w:val="20"/>
                                  </w:rPr>
                                  <w:br/>
                                </w:r>
                                <w:r>
                                  <w:rPr>
                                    <w:color w:val="000000"/>
                                    <w:spacing w:val="0"/>
                                    <w:sz w:val="20"/>
                                  </w:rPr>
                                  <w:t>E</w:t>
                                </w:r>
                                <w:r>
                                  <w:rPr>
                                    <w:color w:val="000000"/>
                                    <w:spacing w:val="0"/>
                                    <w:sz w:val="20"/>
                                  </w:rPr>
                                  <w:t>-</w:t>
                                </w:r>
                                <w:r>
                                  <w:rPr>
                                    <w:color w:val="000000"/>
                                    <w:spacing w:val="0"/>
                                    <w:sz w:val="20"/>
                                  </w:rPr>
                                  <w:t>mail</w:t>
                                </w:r>
                                <w:r>
                                  <w:rPr>
                                    <w:color w:val="000000"/>
                                    <w:spacing w:val="0"/>
                                    <w:sz w:val="20"/>
                                  </w:rPr>
                                  <w:t>: romodanovo</w:t>
                                </w:r>
                                <w:r>
                                  <w:rPr>
                                    <w:color w:val="000000"/>
                                    <w:spacing w:val="0"/>
                                    <w:sz w:val="20"/>
                                  </w:rPr>
                                  <w:t>@13.</w:t>
                                </w:r>
                                <w:r>
                                  <w:rPr>
                                    <w:color w:val="000000"/>
                                    <w:spacing w:val="0"/>
                                    <w:sz w:val="20"/>
                                  </w:rPr>
                                  <w:t>mailop</w:t>
                                </w:r>
                                <w:r>
                                  <w:rPr>
                                    <w:color w:val="000000"/>
                                    <w:spacing w:val="0"/>
                                    <w:sz w:val="20"/>
                                  </w:rPr>
                                  <w:t>.</w:t>
                                </w:r>
                                <w:r>
                                  <w:rPr>
                                    <w:color w:val="000000"/>
                                    <w:spacing w:val="0"/>
                                    <w:sz w:val="20"/>
                                  </w:rPr>
                                  <w:t>ru</w:t>
                                </w:r>
                              </w:p>
                            </w:sdtContent>
                          </w:sdt>
                        </w:txbxContent>
                      </wps:txbx>
                      <wps:bodyPr anchor="t" bIns="0" lIns="0" rIns="228600" tIns="0" vert="horz" wrap="square">
                        <a:noAutofit/>
                      </wps:bodyPr>
                    </wps:wsp>
                  </a:graphicData>
                </a:graphic>
              </wp:anchor>
            </w:drawing>
          </mc:Choice>
          <mc:Fallback>
            <w:pic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Fallback>
        </mc:AlternateContent>
      </w:r>
      <w:r>
        <w:rPr>
          <w:color w:themeColor="background1" w:val="FFFFFF"/>
        </w:rPr>
        <w:drawing>
          <wp:anchor allowOverlap="true" behindDoc="false" distB="0" distL="114300" distR="114300" distT="0" layoutInCell="true" locked="false" relativeHeight="251658240" simplePos="false">
            <wp:simplePos x="0" y="0"/>
            <wp:positionH relativeFrom="column">
              <wp:posOffset>900430</wp:posOffset>
            </wp:positionH>
            <wp:positionV relativeFrom="page">
              <wp:posOffset>360045</wp:posOffset>
            </wp:positionV>
            <wp:extent cx="565200" cy="622800"/>
            <wp:effectExtent b="0" l="0" r="0" t="0"/>
            <wp:wrapNone/>
            <wp:docPr hidden="false" id="2" name="Picture 2"/>
            <a:graphic>
              <a:graphicData uri="http://schemas.openxmlformats.org/drawingml/2006/picture">
                <pic:pic>
                  <pic:nvPicPr>
                    <pic:cNvPr hidden="false" id="3" name="Picture 3"/>
                    <pic:cNvPicPr preferRelativeResize="true"/>
                  </pic:nvPicPr>
                  <pic:blipFill>
                    <a:blip r:embed="rId7"/>
                    <a:srcRect b="0" l="0" r="0" t="0"/>
                    <a:stretch/>
                  </pic:blipFill>
                  <pic:spPr>
                    <a:xfrm flipH="false" flipV="false" rot="0">
                      <a:ext cx="565200" cy="622800"/>
                    </a:xfrm>
                    <a:prstGeom prst="rect"/>
                  </pic:spPr>
                </pic:pic>
              </a:graphicData>
            </a:graphic>
          </wp:anchor>
        </w:drawing>
      </w:r>
    </w:p>
    <w:p w14:paraId="24000000">
      <w:pPr>
        <w:widowControl w:val="0"/>
        <w:spacing w:line="240" w:lineRule="exact"/>
        <w:ind w:right="-6"/>
        <w:rPr>
          <w:b w:val="1"/>
        </w:rPr>
      </w:pPr>
      <w:r>
        <w:rPr>
          <w:b w:val="1"/>
        </w:rPr>
        <w:t>ИНФОРМАЦИЯ</w:t>
      </w:r>
    </w:p>
    <w:p w14:paraId="25000000">
      <w:pPr>
        <w:widowControl w:val="0"/>
        <w:spacing w:line="240" w:lineRule="exact"/>
        <w:ind w:right="-6"/>
        <w:rPr>
          <w:b w:val="0"/>
        </w:rPr>
      </w:pPr>
      <w:r>
        <w:rPr>
          <w:b w:val="0"/>
        </w:rPr>
        <w:t>для размещения на официальном сайте</w:t>
      </w:r>
    </w:p>
    <w:p w14:paraId="26000000">
      <w:pPr>
        <w:widowControl w:val="0"/>
        <w:spacing w:line="240" w:lineRule="exact"/>
        <w:ind w:right="-6"/>
        <w:rPr>
          <w:b w:val="0"/>
        </w:rPr>
      </w:pPr>
      <w:r>
        <w:rPr>
          <w:b w:val="0"/>
        </w:rPr>
        <w:t>и бюллетенях</w:t>
      </w:r>
    </w:p>
    <w:p w14:paraId="27000000">
      <w:pPr>
        <w:widowControl w:val="0"/>
        <w:spacing w:line="240" w:lineRule="exact"/>
        <w:ind w:right="-6"/>
        <w:rPr>
          <w:b w:val="0"/>
        </w:rPr>
      </w:pPr>
    </w:p>
    <w:p w14:paraId="28000000">
      <w:pPr>
        <w:widowControl w:val="1"/>
        <w:ind/>
        <w:jc w:val="center"/>
        <w:rPr>
          <w:b w:val="1"/>
          <w:color w:val="333333"/>
          <w:sz w:val="28"/>
        </w:rPr>
      </w:pPr>
      <w:r>
        <w:rPr>
          <w:b w:val="1"/>
          <w:color w:val="333333"/>
          <w:sz w:val="28"/>
        </w:rPr>
        <w:t>Уголовная ответственность за отрицание факта геноцида советского народа</w:t>
      </w:r>
    </w:p>
    <w:p w14:paraId="29000000">
      <w:pPr>
        <w:widowControl w:val="1"/>
        <w:ind w:firstLine="709"/>
        <w:jc w:val="both"/>
        <w:rPr>
          <w:b w:val="1"/>
          <w:color w:val="333333"/>
          <w:sz w:val="28"/>
        </w:rPr>
      </w:pPr>
      <w:r>
        <w:rPr>
          <w:color w:val="333333"/>
          <w:sz w:val="28"/>
        </w:rPr>
        <w:t>Федеральным законом от 09.04.2026 № 100-ФЗ в Уголовный кодекс</w:t>
      </w:r>
      <w:r>
        <w:rPr>
          <w:color w:val="333333"/>
          <w:sz w:val="28"/>
        </w:rPr>
        <w:br/>
      </w:r>
      <w:r>
        <w:rPr>
          <w:color w:val="333333"/>
          <w:sz w:val="28"/>
        </w:rPr>
        <w:t>Российской Федерации внесены вступившие 20.04.2026 в законную силу</w:t>
      </w:r>
      <w:r>
        <w:rPr>
          <w:color w:val="333333"/>
          <w:sz w:val="28"/>
        </w:rPr>
        <w:br/>
      </w:r>
      <w:r>
        <w:rPr>
          <w:color w:val="333333"/>
          <w:sz w:val="28"/>
        </w:rPr>
        <w:t>изменения.</w:t>
      </w:r>
      <w:r>
        <w:rPr>
          <w:color w:val="333333"/>
          <w:sz w:val="28"/>
        </w:rPr>
        <w:br/>
      </w:r>
      <w:r>
        <w:rPr>
          <w:color w:val="333333"/>
          <w:sz w:val="28"/>
        </w:rPr>
        <w:tab/>
      </w:r>
      <w:r>
        <w:rPr>
          <w:color w:val="333333"/>
          <w:sz w:val="28"/>
        </w:rPr>
        <w:t>Так, изменена статья 354.1 Уголовный кодекс Российской Федерации,</w:t>
      </w:r>
      <w:r>
        <w:rPr>
          <w:color w:val="333333"/>
          <w:sz w:val="28"/>
        </w:rPr>
        <w:br/>
      </w:r>
      <w:r>
        <w:rPr>
          <w:color w:val="333333"/>
          <w:sz w:val="28"/>
        </w:rPr>
        <w:t>предусматривающая уголовную ответственность за реабилитацию нацизма.</w:t>
      </w:r>
      <w:r>
        <w:rPr>
          <w:color w:val="333333"/>
          <w:sz w:val="28"/>
        </w:rPr>
        <w:br/>
      </w:r>
      <w:r>
        <w:rPr>
          <w:color w:val="333333"/>
          <w:sz w:val="28"/>
        </w:rPr>
        <w:tab/>
      </w:r>
      <w:r>
        <w:rPr>
          <w:color w:val="333333"/>
          <w:sz w:val="28"/>
        </w:rPr>
        <w:t>Установлена ответственность за отрицание факта геноцида советского народа</w:t>
      </w:r>
      <w:r>
        <w:rPr>
          <w:color w:val="333333"/>
          <w:sz w:val="28"/>
        </w:rPr>
        <w:t>или одобрение геноцида советского народа, совершенные публично.</w:t>
      </w:r>
      <w:r>
        <w:rPr>
          <w:color w:val="333333"/>
          <w:sz w:val="28"/>
        </w:rPr>
        <w:br/>
      </w:r>
      <w:r>
        <w:rPr>
          <w:color w:val="333333"/>
          <w:sz w:val="28"/>
        </w:rPr>
        <w:t>Санкция части первой статьи 354.1 Уголовного кодекса Российской</w:t>
      </w:r>
      <w:r>
        <w:rPr>
          <w:color w:val="333333"/>
          <w:sz w:val="28"/>
        </w:rPr>
        <w:br/>
      </w:r>
      <w:r>
        <w:rPr>
          <w:color w:val="333333"/>
          <w:sz w:val="28"/>
        </w:rPr>
        <w:t>Федерации предусматривает наказание в виде лишения свободы на срок до трех</w:t>
      </w:r>
      <w:r>
        <w:rPr>
          <w:color w:val="333333"/>
          <w:sz w:val="28"/>
        </w:rPr>
        <w:br/>
      </w:r>
      <w:r>
        <w:rPr>
          <w:color w:val="333333"/>
          <w:sz w:val="28"/>
        </w:rPr>
        <w:t>лет с лишением права занимать определенные должности или заниматься</w:t>
      </w:r>
      <w:r>
        <w:rPr>
          <w:color w:val="333333"/>
          <w:sz w:val="28"/>
        </w:rPr>
        <w:br/>
      </w:r>
      <w:r>
        <w:rPr>
          <w:color w:val="333333"/>
          <w:sz w:val="28"/>
        </w:rPr>
        <w:t>определенной деятельностью на срок до трех лет.</w:t>
      </w:r>
    </w:p>
    <w:p w14:paraId="2A000000">
      <w:pPr>
        <w:widowControl w:val="1"/>
        <w:spacing w:line="540" w:lineRule="atLeast"/>
        <w:ind/>
        <w:jc w:val="center"/>
        <w:rPr>
          <w:b w:val="1"/>
          <w:color w:val="333333"/>
          <w:sz w:val="28"/>
        </w:rPr>
      </w:pPr>
      <w:r>
        <w:rPr>
          <w:b w:val="1"/>
          <w:color w:val="333333"/>
          <w:sz w:val="28"/>
        </w:rPr>
        <w:t>Конфискация имущества</w:t>
      </w:r>
    </w:p>
    <w:p w14:paraId="2B000000">
      <w:pPr>
        <w:widowControl w:val="1"/>
        <w:ind w:firstLine="709"/>
        <w:jc w:val="both"/>
        <w:rPr>
          <w:b w:val="1"/>
          <w:color w:val="333333"/>
          <w:sz w:val="28"/>
        </w:rPr>
      </w:pPr>
      <w:r>
        <w:rPr>
          <w:color w:val="333333"/>
          <w:sz w:val="28"/>
        </w:rPr>
        <w:t>Конфискация имущества представляет собой принудительное,</w:t>
      </w:r>
      <w:r>
        <w:rPr>
          <w:color w:val="333333"/>
          <w:sz w:val="28"/>
        </w:rPr>
        <w:br/>
      </w:r>
      <w:r>
        <w:rPr>
          <w:color w:val="333333"/>
          <w:sz w:val="28"/>
        </w:rPr>
        <w:t>безвозмездное изъятие и последующее обращение в собственность государства</w:t>
      </w:r>
      <w:r>
        <w:rPr>
          <w:color w:val="333333"/>
          <w:sz w:val="28"/>
        </w:rPr>
        <w:br/>
      </w:r>
      <w:r>
        <w:rPr>
          <w:color w:val="333333"/>
          <w:sz w:val="28"/>
        </w:rPr>
        <w:t>имущества, на основании обвинительного приговора.</w:t>
      </w:r>
    </w:p>
    <w:p w14:paraId="2C000000">
      <w:pPr>
        <w:widowControl w:val="1"/>
        <w:ind w:firstLine="709"/>
        <w:jc w:val="both"/>
        <w:rPr>
          <w:b w:val="1"/>
          <w:color w:val="333333"/>
          <w:sz w:val="28"/>
        </w:rPr>
      </w:pPr>
      <w:r>
        <w:rPr>
          <w:color w:val="333333"/>
          <w:sz w:val="28"/>
        </w:rPr>
        <w:t>Конфискации подлежит любое имущество, полученное в результате</w:t>
      </w:r>
      <w:r>
        <w:rPr>
          <w:color w:val="333333"/>
          <w:sz w:val="28"/>
        </w:rPr>
        <w:br/>
      </w:r>
      <w:r>
        <w:rPr>
          <w:color w:val="333333"/>
          <w:sz w:val="28"/>
        </w:rPr>
        <w:t>совершения преступлений, предусмотренных ч. 2 ст. 105, ч. 2 – 4 ст. 111,</w:t>
      </w:r>
      <w:r>
        <w:rPr>
          <w:color w:val="333333"/>
          <w:sz w:val="28"/>
        </w:rPr>
        <w:br/>
      </w:r>
      <w:r>
        <w:rPr>
          <w:color w:val="333333"/>
          <w:sz w:val="28"/>
        </w:rPr>
        <w:t>ч. 2 ст. 126, ст. 174.1, 209, 210, 222, 227, 228.1, 285, 290, 307, ч. 5 – 8 ст. 204 УК РФ,</w:t>
      </w:r>
      <w:r>
        <w:rPr>
          <w:color w:val="333333"/>
          <w:sz w:val="28"/>
        </w:rPr>
        <w:t xml:space="preserve">а также статьями 145.1, 322.1 УК РФ (если преступления совершены из корыстных </w:t>
      </w:r>
      <w:r>
        <w:rPr>
          <w:color w:val="333333"/>
          <w:sz w:val="28"/>
        </w:rPr>
        <w:t>побуждений), а также других преступлений, указанных в п. «а» ч. 1</w:t>
      </w:r>
      <w:r>
        <w:rPr>
          <w:color w:val="333333"/>
          <w:sz w:val="28"/>
        </w:rPr>
        <w:br/>
      </w:r>
      <w:r>
        <w:rPr>
          <w:color w:val="333333"/>
          <w:sz w:val="28"/>
        </w:rPr>
        <w:t>ст. 104.1 УК РФ.</w:t>
      </w:r>
    </w:p>
    <w:p w14:paraId="2D000000">
      <w:pPr>
        <w:widowControl w:val="1"/>
        <w:ind w:firstLine="709"/>
        <w:jc w:val="both"/>
        <w:rPr>
          <w:b w:val="1"/>
          <w:color w:val="333333"/>
          <w:sz w:val="28"/>
        </w:rPr>
      </w:pPr>
      <w:r>
        <w:rPr>
          <w:color w:val="333333"/>
          <w:sz w:val="28"/>
        </w:rPr>
        <w:t>Также, обязательной конфискации подлежит имущество, используемое</w:t>
      </w:r>
      <w:r>
        <w:rPr>
          <w:color w:val="333333"/>
          <w:sz w:val="28"/>
        </w:rPr>
        <w:br/>
      </w:r>
      <w:r>
        <w:rPr>
          <w:color w:val="333333"/>
          <w:sz w:val="28"/>
        </w:rPr>
        <w:t>или предназначенное для финансирования терроризма, экстремистской</w:t>
      </w:r>
      <w:r>
        <w:rPr>
          <w:color w:val="333333"/>
          <w:sz w:val="28"/>
        </w:rPr>
        <w:br/>
      </w:r>
      <w:r>
        <w:rPr>
          <w:color w:val="333333"/>
          <w:sz w:val="28"/>
        </w:rPr>
        <w:t xml:space="preserve">деятельности, незаконного вооруженного формирования, преступного сообщества </w:t>
      </w:r>
      <w:r>
        <w:rPr>
          <w:color w:val="333333"/>
          <w:sz w:val="28"/>
        </w:rPr>
        <w:t xml:space="preserve">(преступной организации), а также деятельности, направленной против </w:t>
      </w:r>
      <w:r>
        <w:rPr>
          <w:color w:val="333333"/>
          <w:sz w:val="28"/>
        </w:rPr>
        <w:t xml:space="preserve">безопасности Российской Федерации, в том числе орудия, оборудование или иные </w:t>
      </w:r>
      <w:r>
        <w:rPr>
          <w:color w:val="333333"/>
          <w:sz w:val="28"/>
        </w:rPr>
        <w:t>средства совершения преступления, принадлежащие обвиняемому, а также</w:t>
      </w:r>
      <w:r>
        <w:rPr>
          <w:color w:val="333333"/>
          <w:sz w:val="28"/>
        </w:rPr>
        <w:t>транспортные средства, использованные им при совершении преступлений,</w:t>
      </w:r>
      <w:r>
        <w:rPr>
          <w:color w:val="333333"/>
          <w:sz w:val="28"/>
        </w:rPr>
        <w:t>предусмотренных статьями 264.1, 264.2 или 264.3 УК РФ.</w:t>
      </w:r>
      <w:r>
        <w:rPr>
          <w:color w:val="333333"/>
          <w:sz w:val="28"/>
        </w:rPr>
        <w:br/>
      </w:r>
      <w:r>
        <w:rPr>
          <w:color w:val="333333"/>
          <w:sz w:val="28"/>
        </w:rPr>
        <w:tab/>
      </w:r>
      <w:r>
        <w:rPr>
          <w:color w:val="333333"/>
          <w:sz w:val="28"/>
        </w:rPr>
        <w:t>Кроме того, в соответствии с действующим законодательством,</w:t>
      </w:r>
      <w:r>
        <w:rPr>
          <w:color w:val="333333"/>
          <w:sz w:val="28"/>
        </w:rPr>
        <w:br/>
      </w:r>
      <w:r>
        <w:rPr>
          <w:color w:val="333333"/>
          <w:sz w:val="28"/>
        </w:rPr>
        <w:t>если на момент вынесения судом решения о конфискации предмета, указанного</w:t>
      </w:r>
      <w:r>
        <w:rPr>
          <w:color w:val="333333"/>
          <w:sz w:val="28"/>
        </w:rPr>
        <w:br/>
      </w:r>
      <w:r>
        <w:rPr>
          <w:color w:val="333333"/>
          <w:sz w:val="28"/>
        </w:rPr>
        <w:t>в ст. 104.1 УК РФ, исполнить решение невозможно вследствие использования,</w:t>
      </w:r>
      <w:r>
        <w:rPr>
          <w:color w:val="333333"/>
          <w:sz w:val="28"/>
        </w:rPr>
        <w:br/>
      </w:r>
      <w:r>
        <w:rPr>
          <w:color w:val="333333"/>
          <w:sz w:val="28"/>
        </w:rPr>
        <w:t xml:space="preserve">продажи имущества или по иной причине, конфискации подлежит денежная сумма, </w:t>
      </w:r>
      <w:r>
        <w:rPr>
          <w:color w:val="333333"/>
          <w:sz w:val="28"/>
        </w:rPr>
        <w:t>которая соответствует стоимости данного предмета либо иное имущество</w:t>
      </w:r>
      <w:r>
        <w:rPr>
          <w:color w:val="333333"/>
          <w:sz w:val="28"/>
        </w:rPr>
        <w:br/>
      </w:r>
      <w:r>
        <w:rPr>
          <w:color w:val="333333"/>
          <w:sz w:val="28"/>
        </w:rPr>
        <w:t>обвиняемого, стоимость которого соответствует стоимости предмета,</w:t>
      </w:r>
      <w:r>
        <w:rPr>
          <w:color w:val="333333"/>
          <w:sz w:val="28"/>
        </w:rPr>
        <w:br/>
      </w:r>
      <w:r>
        <w:rPr>
          <w:color w:val="333333"/>
          <w:sz w:val="28"/>
        </w:rPr>
        <w:t>подлежащего конфискации.</w:t>
      </w:r>
    </w:p>
    <w:p w14:paraId="2E000000">
      <w:pPr>
        <w:widowControl w:val="1"/>
        <w:ind w:firstLine="709"/>
        <w:jc w:val="both"/>
        <w:rPr>
          <w:b w:val="1"/>
          <w:color w:val="333333"/>
          <w:sz w:val="28"/>
        </w:rPr>
      </w:pPr>
      <w:r>
        <w:rPr>
          <w:color w:val="333333"/>
          <w:sz w:val="28"/>
        </w:rPr>
        <w:t>Таким образом, за совершение ряда преступлений, кроме назначенного</w:t>
      </w:r>
      <w:r>
        <w:rPr>
          <w:color w:val="333333"/>
          <w:sz w:val="28"/>
        </w:rPr>
        <w:br/>
      </w:r>
      <w:r>
        <w:rPr>
          <w:color w:val="333333"/>
          <w:sz w:val="28"/>
        </w:rPr>
        <w:t xml:space="preserve">наказания, судом может быть применена дополнительная мера уголовно-правового </w:t>
      </w:r>
      <w:r>
        <w:rPr>
          <w:color w:val="333333"/>
          <w:sz w:val="28"/>
        </w:rPr>
        <w:t>воздействия – конфискация имущества.</w:t>
      </w:r>
    </w:p>
    <w:p w14:paraId="2F000000">
      <w:pPr>
        <w:widowControl w:val="1"/>
        <w:ind w:firstLine="709"/>
        <w:jc w:val="center"/>
        <w:rPr>
          <w:b w:val="1"/>
          <w:color w:val="333333"/>
          <w:sz w:val="28"/>
        </w:rPr>
      </w:pPr>
    </w:p>
    <w:p w14:paraId="30000000">
      <w:pPr>
        <w:widowControl w:val="1"/>
        <w:ind w:firstLine="709"/>
        <w:jc w:val="center"/>
        <w:rPr>
          <w:b w:val="1"/>
          <w:color w:val="333333"/>
          <w:sz w:val="28"/>
        </w:rPr>
      </w:pPr>
      <w:r>
        <w:rPr>
          <w:b w:val="1"/>
          <w:color w:val="333333"/>
          <w:sz w:val="28"/>
        </w:rPr>
        <w:t xml:space="preserve">Уголовная ответственность за пропаганду наркотиков в сети «Интернет» </w:t>
      </w:r>
    </w:p>
    <w:p w14:paraId="31000000">
      <w:pPr>
        <w:widowControl w:val="1"/>
        <w:ind w:firstLine="709"/>
        <w:jc w:val="both"/>
        <w:rPr>
          <w:b w:val="1"/>
          <w:color w:val="333333"/>
          <w:sz w:val="28"/>
        </w:rPr>
      </w:pPr>
      <w:r>
        <w:rPr>
          <w:color w:val="333333"/>
          <w:sz w:val="28"/>
        </w:rPr>
        <w:t>С 01.03.2026 Уголовный кодекс Российской Федерации Федеральным законом от 08.08.2024 № 226-ФЗ дополнен статьей 230.3, устанавливающей уголовную ответственность за пропаганду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«Интернет»).</w:t>
      </w:r>
    </w:p>
    <w:p w14:paraId="32000000">
      <w:pPr>
        <w:widowControl w:val="1"/>
        <w:ind w:firstLine="709"/>
        <w:jc w:val="both"/>
        <w:rPr>
          <w:b w:val="1"/>
          <w:color w:val="333333"/>
          <w:sz w:val="28"/>
        </w:rPr>
      </w:pPr>
      <w:r>
        <w:rPr>
          <w:color w:val="333333"/>
          <w:sz w:val="28"/>
        </w:rPr>
        <w:t>Под подобные действия подпадает размещение в открытом доступе в сети «Интернет» фотографий, изображений, аудио– и видеоматериалов, пропагандирующих наркотические средства.</w:t>
      </w:r>
    </w:p>
    <w:p w14:paraId="33000000">
      <w:pPr>
        <w:widowControl w:val="1"/>
        <w:ind w:firstLine="709"/>
        <w:jc w:val="both"/>
        <w:rPr>
          <w:b w:val="1"/>
          <w:color w:val="333333"/>
          <w:sz w:val="28"/>
        </w:rPr>
      </w:pPr>
      <w:r>
        <w:rPr>
          <w:color w:val="333333"/>
          <w:sz w:val="28"/>
        </w:rPr>
        <w:t>Данные меры касаются лиц, которые за последний год дважды были привлечены к административной ответственности за аналогичные нарушения или имеют судимость по данной статье.</w:t>
      </w:r>
    </w:p>
    <w:p w14:paraId="34000000">
      <w:pPr>
        <w:widowControl w:val="1"/>
        <w:ind w:firstLine="709"/>
        <w:jc w:val="both"/>
        <w:rPr>
          <w:b w:val="1"/>
          <w:color w:val="333333"/>
          <w:sz w:val="28"/>
        </w:rPr>
      </w:pPr>
      <w:r>
        <w:rPr>
          <w:color w:val="333333"/>
          <w:sz w:val="28"/>
        </w:rPr>
        <w:t>За такое преступление предусмотрено наказание в виде лишения свободы на срок до двух лет с возможностью ограничения права занимать определенные должности или заниматься конкретными видами деятельности.</w:t>
      </w:r>
    </w:p>
    <w:p w14:paraId="35000000">
      <w:pPr>
        <w:widowControl w:val="1"/>
        <w:ind/>
        <w:jc w:val="center"/>
        <w:rPr>
          <w:b w:val="1"/>
          <w:color w:val="333333"/>
          <w:sz w:val="28"/>
        </w:rPr>
      </w:pPr>
    </w:p>
    <w:p w14:paraId="36000000">
      <w:pPr>
        <w:widowControl w:val="1"/>
        <w:ind/>
        <w:jc w:val="center"/>
        <w:rPr>
          <w:b w:val="1"/>
          <w:color w:val="333333"/>
          <w:sz w:val="28"/>
        </w:rPr>
      </w:pPr>
      <w:r>
        <w:rPr>
          <w:b w:val="1"/>
          <w:color w:val="333333"/>
          <w:sz w:val="28"/>
        </w:rPr>
        <w:t>Административная ответственность за правонарушения в сфере связи и информации</w:t>
      </w:r>
    </w:p>
    <w:p w14:paraId="37000000">
      <w:pPr>
        <w:widowControl w:val="1"/>
        <w:ind w:firstLine="709"/>
        <w:jc w:val="both"/>
        <w:rPr>
          <w:b w:val="1"/>
          <w:color w:val="333333"/>
          <w:sz w:val="28"/>
        </w:rPr>
      </w:pPr>
      <w:r>
        <w:rPr>
          <w:color w:val="333333"/>
          <w:sz w:val="28"/>
        </w:rPr>
        <w:t>Статья 13.29.1 КоАП РФ, введённая Федеральным законом от 31 июля 2025 года №281-ФЗ, устанавливает с 1 сентября 2025 года административную ответственность за незаконную передачу абонентского номера или предоставление возможности пользоваться услугами связи третьим лицам с нарушением законодательства. Эта норма направлена на борьбу с использованием SIM-карт в противоправных целях, таких как мошенничество, и обеспечение прозрачности в сфере связи.</w:t>
      </w:r>
    </w:p>
    <w:p w14:paraId="38000000">
      <w:pPr>
        <w:widowControl w:val="1"/>
        <w:ind w:firstLine="709"/>
        <w:jc w:val="both"/>
        <w:rPr>
          <w:b w:val="1"/>
          <w:color w:val="333333"/>
          <w:sz w:val="28"/>
        </w:rPr>
      </w:pPr>
      <w:r>
        <w:rPr>
          <w:color w:val="333333"/>
          <w:sz w:val="28"/>
        </w:rPr>
        <w:t>При этом не является административным правонарушением ситуация, когда человек бесплатно и ненадолго дает свой телефон для личного звонка.</w:t>
      </w:r>
    </w:p>
    <w:p w14:paraId="39000000">
      <w:pPr>
        <w:widowControl w:val="1"/>
        <w:ind w:firstLine="709"/>
        <w:jc w:val="both"/>
        <w:rPr>
          <w:b w:val="1"/>
          <w:color w:val="333333"/>
          <w:sz w:val="28"/>
        </w:rPr>
      </w:pPr>
      <w:r>
        <w:rPr>
          <w:color w:val="333333"/>
          <w:sz w:val="28"/>
        </w:rPr>
        <w:t>Минимальный размер санкции за такое действие составляет 30 тыс. руб. для граждан, для индивидуальных предпринимателей от 50 тыс. до 100 тыс. руб., юридических лиц – от 100 тыс. до 200 тыс. руб.</w:t>
      </w:r>
    </w:p>
    <w:p w14:paraId="3A000000">
      <w:pPr>
        <w:widowControl w:val="1"/>
        <w:ind w:firstLine="709"/>
        <w:jc w:val="both"/>
        <w:rPr>
          <w:b w:val="1"/>
          <w:color w:val="333333"/>
          <w:sz w:val="28"/>
        </w:rPr>
      </w:pPr>
      <w:r>
        <w:rPr>
          <w:color w:val="333333"/>
          <w:sz w:val="28"/>
        </w:rPr>
        <w:t>Введение ответственности направлено на борьбу с использованием SIM-карт в мошеннических схемах, в том числе в дистанционном мошенничестве или «дроп-схемах».</w:t>
      </w:r>
    </w:p>
    <w:p w14:paraId="3B000000">
      <w:pPr>
        <w:widowControl w:val="1"/>
        <w:ind w:firstLine="709"/>
        <w:jc w:val="both"/>
        <w:rPr>
          <w:b w:val="1"/>
          <w:color w:val="333333"/>
          <w:sz w:val="28"/>
        </w:rPr>
      </w:pPr>
      <w:r>
        <w:rPr>
          <w:color w:val="333333"/>
          <w:sz w:val="28"/>
        </w:rPr>
        <w:t>Кроме того, введена уголовная ответственность по статье 274.4 Уголовного кодекса Российской Федерации за организацию и участие в деятельности по передаче абонентских номеров с нарушением требований законодательства Российской Федерации, если эти деяния совершены из корыстной заинтересованности либо в целях совершения иного преступления.</w:t>
      </w:r>
    </w:p>
    <w:p w14:paraId="3C000000">
      <w:pPr>
        <w:widowControl w:val="1"/>
        <w:ind/>
        <w:jc w:val="center"/>
        <w:rPr>
          <w:b w:val="1"/>
          <w:color w:val="333333"/>
          <w:sz w:val="28"/>
        </w:rPr>
      </w:pPr>
      <w:r>
        <w:rPr>
          <w:b w:val="1"/>
          <w:color w:val="333333"/>
          <w:sz w:val="28"/>
        </w:rPr>
        <w:t xml:space="preserve">Ответственность за неурегулирование конфликта интересов на государственной гражданской службе </w:t>
      </w:r>
    </w:p>
    <w:p w14:paraId="3D000000">
      <w:pPr>
        <w:widowControl w:val="1"/>
        <w:ind w:firstLine="709"/>
        <w:jc w:val="both"/>
        <w:rPr>
          <w:b w:val="1"/>
          <w:color w:val="333333"/>
          <w:sz w:val="28"/>
        </w:rPr>
      </w:pPr>
      <w:r>
        <w:rPr>
          <w:color w:val="333333"/>
          <w:sz w:val="28"/>
        </w:rPr>
        <w:t>В соответствии со ст. 10 Федерального закона от 25.12.2008 № 273-ФЗ «О противодействии коррупции» под конфликтом интересов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14:paraId="3E000000">
      <w:pPr>
        <w:widowControl w:val="1"/>
        <w:ind w:firstLine="709"/>
        <w:jc w:val="both"/>
        <w:rPr>
          <w:b w:val="1"/>
          <w:color w:val="333333"/>
          <w:sz w:val="28"/>
        </w:rPr>
      </w:pPr>
      <w:r>
        <w:rPr>
          <w:color w:val="333333"/>
          <w:sz w:val="28"/>
        </w:rPr>
        <w:t>Случаи возникновения у гражданского служащего личной заинтересованности, которая приводит или может привести к конфликту интересов, предотвращаются в целях недопущения причинения вреда законным интересам граждан, организаций, общества, субъекта Российской Федерации или Российской Федерации.</w:t>
      </w:r>
    </w:p>
    <w:p w14:paraId="3F000000">
      <w:pPr>
        <w:widowControl w:val="1"/>
        <w:ind w:firstLine="709"/>
        <w:jc w:val="both"/>
        <w:rPr>
          <w:b w:val="1"/>
          <w:color w:val="333333"/>
          <w:sz w:val="28"/>
        </w:rPr>
      </w:pPr>
      <w:r>
        <w:rPr>
          <w:color w:val="333333"/>
          <w:sz w:val="28"/>
        </w:rPr>
        <w:t>В силу Федерального закона от 27.07.2004 № 79-ФЗ «О государственной гражданской службе Российской Федерации», за несоблюдение гражданским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настоящим Федеральным законом, Федеральным законом от 25 декабря 2008 года 273-ФЗ «О противодействии коррупции» и другими федеральными законами, налагаются следующие взыскания:</w:t>
      </w:r>
    </w:p>
    <w:p w14:paraId="40000000">
      <w:pPr>
        <w:widowControl w:val="1"/>
        <w:ind w:firstLine="709"/>
        <w:jc w:val="both"/>
        <w:rPr>
          <w:b w:val="1"/>
          <w:color w:val="333333"/>
          <w:sz w:val="28"/>
        </w:rPr>
      </w:pPr>
      <w:r>
        <w:rPr>
          <w:color w:val="333333"/>
          <w:sz w:val="28"/>
        </w:rPr>
        <w:t>1) замечание;</w:t>
      </w:r>
    </w:p>
    <w:p w14:paraId="41000000">
      <w:pPr>
        <w:widowControl w:val="1"/>
        <w:ind w:firstLine="709"/>
        <w:jc w:val="both"/>
        <w:rPr>
          <w:b w:val="1"/>
          <w:color w:val="333333"/>
          <w:sz w:val="28"/>
        </w:rPr>
      </w:pPr>
      <w:r>
        <w:rPr>
          <w:color w:val="333333"/>
          <w:sz w:val="28"/>
        </w:rPr>
        <w:t>2) выговор;</w:t>
      </w:r>
    </w:p>
    <w:p w14:paraId="42000000">
      <w:pPr>
        <w:widowControl w:val="1"/>
        <w:ind w:firstLine="709"/>
        <w:jc w:val="both"/>
        <w:rPr>
          <w:b w:val="1"/>
          <w:color w:val="333333"/>
          <w:sz w:val="28"/>
        </w:rPr>
      </w:pPr>
      <w:r>
        <w:rPr>
          <w:color w:val="333333"/>
          <w:sz w:val="28"/>
        </w:rPr>
        <w:t>3) предупреждение о неполном должностном соответствии.</w:t>
      </w:r>
    </w:p>
    <w:p w14:paraId="43000000">
      <w:pPr>
        <w:widowControl w:val="1"/>
        <w:ind w:firstLine="709"/>
        <w:jc w:val="both"/>
        <w:rPr>
          <w:b w:val="1"/>
          <w:color w:val="333333"/>
          <w:sz w:val="28"/>
        </w:rPr>
      </w:pPr>
      <w:r>
        <w:rPr>
          <w:color w:val="333333"/>
          <w:sz w:val="28"/>
        </w:rPr>
        <w:t>Гражданский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 273-ФЗ «О противодействии коррупции».</w:t>
      </w:r>
    </w:p>
    <w:p w14:paraId="44000000">
      <w:pPr>
        <w:widowControl w:val="1"/>
        <w:ind w:firstLine="709"/>
        <w:jc w:val="both"/>
        <w:rPr>
          <w:b w:val="1"/>
          <w:color w:val="333333"/>
          <w:sz w:val="28"/>
        </w:rPr>
      </w:pPr>
      <w:r>
        <w:rPr>
          <w:color w:val="333333"/>
          <w:sz w:val="28"/>
        </w:rPr>
        <w:t>Более того, непринятие гражданским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гражданского служащего с гражданской службы, за исключением случаев, установленных федеральными законами.</w:t>
      </w:r>
    </w:p>
    <w:p w14:paraId="45000000">
      <w:pPr>
        <w:widowControl w:val="1"/>
        <w:ind/>
        <w:jc w:val="center"/>
        <w:rPr>
          <w:b w:val="1"/>
          <w:color w:val="333333"/>
          <w:sz w:val="28"/>
        </w:rPr>
      </w:pPr>
    </w:p>
    <w:p w14:paraId="46000000">
      <w:pPr>
        <w:widowControl w:val="1"/>
        <w:ind/>
        <w:jc w:val="center"/>
        <w:rPr>
          <w:b w:val="1"/>
          <w:color w:val="333333"/>
          <w:sz w:val="28"/>
        </w:rPr>
      </w:pPr>
    </w:p>
    <w:p w14:paraId="47000000">
      <w:pPr>
        <w:widowControl w:val="1"/>
        <w:ind/>
        <w:jc w:val="center"/>
        <w:rPr>
          <w:b w:val="1"/>
          <w:color w:val="333333"/>
          <w:sz w:val="28"/>
        </w:rPr>
      </w:pPr>
    </w:p>
    <w:p w14:paraId="48000000">
      <w:pPr>
        <w:widowControl w:val="1"/>
        <w:ind/>
        <w:jc w:val="center"/>
        <w:rPr>
          <w:b w:val="1"/>
          <w:color w:val="333333"/>
          <w:sz w:val="28"/>
        </w:rPr>
      </w:pPr>
    </w:p>
    <w:p w14:paraId="49000000">
      <w:pPr>
        <w:widowControl w:val="1"/>
        <w:ind/>
        <w:jc w:val="center"/>
        <w:rPr>
          <w:b w:val="1"/>
          <w:color w:val="333333"/>
          <w:sz w:val="28"/>
        </w:rPr>
      </w:pPr>
      <w:r>
        <w:rPr>
          <w:b w:val="1"/>
          <w:color w:val="333333"/>
          <w:sz w:val="28"/>
        </w:rPr>
        <w:t xml:space="preserve">Конституционный Суд Российской Федерации предоставил потерпевшим от мошеннических действий право выбора суда для подачи исков в рамках гражданского судопроизводства. </w:t>
      </w:r>
    </w:p>
    <w:p w14:paraId="4A000000">
      <w:pPr>
        <w:widowControl w:val="1"/>
        <w:ind w:firstLine="709"/>
        <w:jc w:val="both"/>
        <w:rPr>
          <w:b w:val="1"/>
          <w:color w:val="333333"/>
          <w:sz w:val="28"/>
        </w:rPr>
      </w:pPr>
      <w:r>
        <w:rPr>
          <w:color w:val="333333"/>
          <w:sz w:val="28"/>
        </w:rPr>
        <w:t>Конституционный Суд Российской Федерации своим постановлением от 22.12.2025 № 47-П предоставил жертвам мошеннических действий право выбора суда для подачи исков в рамках гражданского судопроизводства.</w:t>
      </w:r>
    </w:p>
    <w:p w14:paraId="4B000000">
      <w:pPr>
        <w:widowControl w:val="1"/>
        <w:ind w:firstLine="709"/>
        <w:jc w:val="both"/>
        <w:rPr>
          <w:b w:val="1"/>
          <w:color w:val="333333"/>
          <w:sz w:val="28"/>
        </w:rPr>
      </w:pPr>
      <w:r>
        <w:rPr>
          <w:color w:val="333333"/>
          <w:sz w:val="28"/>
        </w:rPr>
        <w:t>Речь идет о требованиях, о взыскании неосновательно полученных средств, которые были похищены с банковского счета и переведены третьему лицу.</w:t>
      </w:r>
    </w:p>
    <w:p w14:paraId="4C000000">
      <w:pPr>
        <w:widowControl w:val="1"/>
        <w:ind w:firstLine="709"/>
        <w:jc w:val="both"/>
        <w:rPr>
          <w:b w:val="1"/>
          <w:color w:val="333333"/>
          <w:sz w:val="28"/>
        </w:rPr>
      </w:pPr>
      <w:r>
        <w:rPr>
          <w:color w:val="333333"/>
          <w:sz w:val="28"/>
        </w:rPr>
        <w:t>Теперь пострадавший может обратиться не только по адресу проживания ответчика, но и по месту своего жительства, либо по месту нахождения суда, где рассматривается уголовное дело.</w:t>
      </w:r>
    </w:p>
    <w:p w14:paraId="4D000000">
      <w:pPr>
        <w:widowControl w:val="1"/>
        <w:ind w:firstLine="709"/>
        <w:jc w:val="both"/>
        <w:rPr>
          <w:b w:val="1"/>
          <w:color w:val="333333"/>
          <w:sz w:val="28"/>
        </w:rPr>
      </w:pPr>
      <w:r>
        <w:rPr>
          <w:color w:val="333333"/>
          <w:sz w:val="28"/>
        </w:rPr>
        <w:t>Это возможно при условии, что соответствующий иск не заявлялся или не был разрешен в уголовном процессе.</w:t>
      </w:r>
    </w:p>
    <w:p w14:paraId="4E000000">
      <w:pPr>
        <w:widowControl w:val="1"/>
        <w:ind w:firstLine="709"/>
        <w:jc w:val="both"/>
        <w:rPr>
          <w:b w:val="1"/>
          <w:color w:val="333333"/>
          <w:sz w:val="28"/>
        </w:rPr>
      </w:pPr>
      <w:r>
        <w:rPr>
          <w:color w:val="333333"/>
          <w:sz w:val="28"/>
        </w:rPr>
        <w:t>Аналогичные правила распространяются на заявления о компенсации имущественного ущерба.</w:t>
      </w:r>
    </w:p>
    <w:p w14:paraId="4F000000">
      <w:pPr>
        <w:widowControl w:val="1"/>
        <w:ind w:firstLine="709"/>
        <w:jc w:val="both"/>
        <w:rPr>
          <w:b w:val="1"/>
          <w:color w:val="333333"/>
          <w:sz w:val="28"/>
        </w:rPr>
      </w:pPr>
      <w:r>
        <w:rPr>
          <w:color w:val="333333"/>
          <w:sz w:val="28"/>
        </w:rPr>
        <w:t>Конституционный Суд Российской Федерации предписал парламенту внести необходимые поправки. Ранее суды общей юрисдикции принимали подобные иски исключительно по месту жительства ответчика.</w:t>
      </w:r>
    </w:p>
    <w:p w14:paraId="50000000">
      <w:pPr>
        <w:widowControl w:val="1"/>
        <w:ind/>
        <w:jc w:val="center"/>
        <w:rPr>
          <w:b w:val="1"/>
          <w:color w:val="333333"/>
          <w:sz w:val="28"/>
        </w:rPr>
      </w:pPr>
    </w:p>
    <w:p w14:paraId="51000000">
      <w:pPr>
        <w:widowControl w:val="1"/>
        <w:ind/>
        <w:jc w:val="center"/>
        <w:rPr>
          <w:b w:val="1"/>
          <w:color w:val="333333"/>
          <w:sz w:val="28"/>
        </w:rPr>
      </w:pPr>
      <w:r>
        <w:rPr>
          <w:b w:val="1"/>
          <w:color w:val="333333"/>
          <w:sz w:val="28"/>
        </w:rPr>
        <w:t>Меры ответственности для должностных лиц за неисполнение решений межведомственной комиссии по противодействию экстремизму</w:t>
      </w:r>
    </w:p>
    <w:p w14:paraId="52000000">
      <w:pPr>
        <w:widowControl w:val="1"/>
        <w:ind w:firstLine="709"/>
        <w:jc w:val="both"/>
        <w:rPr>
          <w:b w:val="1"/>
          <w:color w:val="333333"/>
          <w:sz w:val="28"/>
        </w:rPr>
      </w:pPr>
      <w:r>
        <w:rPr>
          <w:color w:val="333333"/>
          <w:sz w:val="28"/>
        </w:rPr>
        <w:t>С 4 ноября 2025 года в Российской Федерации могут привлечь должностных лиц к административной ответственности за несоблюдение решений межведомственной комиссии по противодействию экстремизму. Федеральный закон от 4 ноября 2025 года № 404-ФЗ вводит административную ответственность за неисполнение решений координационного органа, обеспечивающего работу федеральных, региональных и муниципальных органов по борьбе с экстремизмом и реализации государственной политики в этой сфере.</w:t>
      </w:r>
      <w:r>
        <w:rPr>
          <w:color w:val="333333"/>
          <w:sz w:val="28"/>
        </w:rPr>
        <w:br/>
      </w:r>
      <w:r>
        <w:rPr>
          <w:color w:val="333333"/>
          <w:sz w:val="28"/>
        </w:rPr>
        <w:t>Данные изменения направлены на устранение пробелов в правовом регулировании, поскольку ранее полномочия по обязательному исполнению решений межведомственной комиссии у органов власти и местного самоуправления не были четко закреплены законом.</w:t>
      </w:r>
    </w:p>
    <w:p w14:paraId="53000000">
      <w:pPr>
        <w:widowControl w:val="1"/>
        <w:ind w:firstLine="709"/>
        <w:jc w:val="both"/>
        <w:rPr>
          <w:b w:val="1"/>
          <w:color w:val="333333"/>
          <w:sz w:val="28"/>
        </w:rPr>
      </w:pPr>
      <w:r>
        <w:rPr>
          <w:color w:val="333333"/>
          <w:sz w:val="28"/>
        </w:rPr>
        <w:t>За нарушение данных требований предусмотрена административная ответственность согласно ст. 19.5.4 КоАП РФ. В результате изменений штраф составит от 30 000 до 50 000 рублей или дисквалификацию на срок от одного года до трех лет.</w:t>
      </w:r>
    </w:p>
    <w:p w14:paraId="54000000">
      <w:pPr>
        <w:widowControl w:val="1"/>
        <w:ind/>
        <w:jc w:val="center"/>
        <w:rPr>
          <w:b w:val="1"/>
          <w:color w:val="333333"/>
          <w:sz w:val="28"/>
        </w:rPr>
      </w:pPr>
    </w:p>
    <w:p w14:paraId="55000000">
      <w:pPr>
        <w:widowControl w:val="1"/>
        <w:ind/>
        <w:jc w:val="center"/>
        <w:rPr>
          <w:b w:val="1"/>
          <w:color w:val="333333"/>
          <w:sz w:val="28"/>
        </w:rPr>
      </w:pPr>
      <w:r>
        <w:rPr>
          <w:b w:val="1"/>
          <w:color w:val="333333"/>
          <w:sz w:val="28"/>
        </w:rPr>
        <w:t>В Российской Федерации ввели уголовную ответственность за осквернение памяти жертв геноцида советского народа и отрицание факта геноцида</w:t>
      </w:r>
    </w:p>
    <w:p w14:paraId="56000000">
      <w:pPr>
        <w:widowControl w:val="1"/>
        <w:ind w:firstLine="709"/>
        <w:jc w:val="both"/>
        <w:rPr>
          <w:b w:val="1"/>
          <w:color w:val="333333"/>
          <w:sz w:val="28"/>
        </w:rPr>
      </w:pPr>
      <w:r>
        <w:rPr>
          <w:color w:val="333333"/>
          <w:sz w:val="28"/>
        </w:rPr>
        <w:t>Статья 243.4 Уголовного кодекса РФ дополнена частью третьей, согласно которой уничтожение, повреждение либо осквернение расположенных на территории Российской Федерации или за ее пределами захоронений жертв геноцида советского народа, а также памятников, стел, обелисков, других мемориальных сооружений или объектов, увековечивающих память жертв геноцида советского народа, в целях причинения ущерба историко-культурному значению таких объектов наказывается штрафом в размере от двух до пяти миллионов рублей или в размере заработной платы или иного дохода осужденного за период от одного года до пяти лет, либо обязательными работами на срок до четырехсот восьмидесяти часов, либо принудительными работами на срок до пяти лет, либо лишением свободы на тот же срок. Кроме того, статью о реабилитации нацизма дополнили запретом на публичное отрицание или одобрение геноцида советского народа</w:t>
      </w:r>
    </w:p>
    <w:p w14:paraId="57000000">
      <w:pPr>
        <w:widowControl w:val="1"/>
        <w:spacing w:line="540" w:lineRule="atLeast"/>
        <w:ind/>
        <w:jc w:val="center"/>
        <w:rPr>
          <w:b w:val="1"/>
          <w:color w:val="333333"/>
          <w:sz w:val="28"/>
        </w:rPr>
      </w:pPr>
      <w:r>
        <w:rPr>
          <w:b w:val="1"/>
          <w:color w:val="333333"/>
          <w:sz w:val="28"/>
        </w:rPr>
        <w:t>Правовая природа взяточничества и ответственность за него</w:t>
      </w:r>
    </w:p>
    <w:p w14:paraId="58000000">
      <w:pPr>
        <w:widowControl w:val="1"/>
        <w:spacing w:afterAutospacing="on"/>
        <w:ind w:firstLine="709"/>
        <w:jc w:val="both"/>
        <w:rPr>
          <w:color w:val="333333"/>
          <w:sz w:val="28"/>
        </w:rPr>
      </w:pPr>
      <w:r>
        <w:rPr>
          <w:color w:val="333333"/>
          <w:sz w:val="28"/>
        </w:rPr>
        <w:t>Взяточничество представляет собой одну из самых опасных и достаточно распространенных форм коррупции. Оно представлено следующими составами преступлений: получение взятки (ст. 290 УК РФ), дача взятки (ст. 291 УК РФ), посредничество во взяточничестве (ст. 291.1 УК РФ), мелкое взяточничество (ст. 291.2 УК РФ).</w:t>
      </w:r>
    </w:p>
    <w:p w14:paraId="59000000">
      <w:pPr>
        <w:widowControl w:val="1"/>
        <w:spacing w:afterAutospacing="on"/>
        <w:ind w:firstLine="709"/>
        <w:jc w:val="both"/>
        <w:rPr>
          <w:color w:val="333333"/>
          <w:sz w:val="28"/>
        </w:rPr>
      </w:pPr>
      <w:r>
        <w:rPr>
          <w:color w:val="333333"/>
          <w:sz w:val="28"/>
        </w:rPr>
        <w:t>С учетом высокой степени латентности данного вида преступлений есть основания полагать, что реальное количество проявлений взяточничества в несколько раз больше зарегистрированного. Обязательным признаком взяточничества является его предмет. В отличие от УК РСФСР, в котором говорилось о получении взятки «в каком бы то ни было виде», действующий уголовный закон ограничивает характер взятки только выгодами имущественного характера: взятка выражается «в виде денег, ценных бумаг, иного имущества либо в виде оказания услуг имущественного характера, предоставления иных имущественных прав». При этом в Уголовном кодексе Российской Федерации нет никаких ограничений размера взятки (до признания его значительным, то есть до 25 тыс. руб.), в связи с чем, учитывая высокую общественную опасность взяточничества, следует исходить из того, что стоимость предмета взятки не имеет значения для квалификации преступления.</w:t>
      </w:r>
    </w:p>
    <w:p w14:paraId="5A000000">
      <w:pPr>
        <w:widowControl w:val="1"/>
        <w:spacing w:afterAutospacing="on"/>
        <w:ind w:firstLine="709"/>
        <w:jc w:val="both"/>
        <w:rPr>
          <w:color w:val="333333"/>
          <w:sz w:val="28"/>
        </w:rPr>
      </w:pPr>
      <w:r>
        <w:rPr>
          <w:color w:val="333333"/>
          <w:sz w:val="28"/>
        </w:rPr>
        <w:t>Само по себе получение должностным лицом имущественной выгоды еще не означает получение взятки. Важнейшим признаком данного преступления является обусловленность взятки последующими действиями должностного лица. Это значит, что взяткодатель не просто вручает должностному лицу подарок, а передает материальные ценности, либо оказывает услугу имущественного характера за то, что должностное лицо совершит (или не совершит) в его пользу ответные действия. Закон предусматривает четыре формы такого поведения должностного лица в ответ — взятка вручается под условием, что должностное лицо совершит в пользу взяткодателя действия (бездействие), которые: 1) входят в служебные полномочия должностного лица; 2) не входят в его служебные полномочия, но оно может способствовать совершению таких действий (бездействия) в силу должностного положения; 3) выражают общее покровительство взяткодателю со стороны должностного лица; 4) означают попустительство взяткодателю по службе со стороны должностного лица.</w:t>
      </w:r>
    </w:p>
    <w:p w14:paraId="5B000000">
      <w:pPr>
        <w:widowControl w:val="1"/>
        <w:spacing w:afterAutospacing="on"/>
        <w:ind w:firstLine="709"/>
        <w:jc w:val="both"/>
        <w:rPr>
          <w:color w:val="333333"/>
          <w:sz w:val="28"/>
        </w:rPr>
      </w:pPr>
      <w:r>
        <w:rPr>
          <w:color w:val="333333"/>
          <w:sz w:val="28"/>
        </w:rPr>
        <w:t>Стоит отметить, что фактическое совершение указанных действий может и не произойти: то есть, даже если получая взятку, должностное лицо реально не собиралось выполнять требования взяткодателя, состав преступления будет. Уголовный кодекс Российской Федерации предусматривает строгую ответственность и суровое наказание для взяточников: лишение свободы до 15 лет, штраф, равный до стократной суммы взятки, а также с лишением права занимать определенные должности или заниматься определенной деятельностью на срок до 15 лет.</w:t>
      </w:r>
    </w:p>
    <w:p w14:paraId="5C000000">
      <w:pPr>
        <w:widowControl w:val="1"/>
        <w:ind/>
        <w:jc w:val="center"/>
        <w:rPr>
          <w:b w:val="1"/>
          <w:color w:val="333333"/>
          <w:sz w:val="28"/>
        </w:rPr>
      </w:pPr>
      <w:r>
        <w:rPr>
          <w:b w:val="1"/>
          <w:color w:val="333333"/>
          <w:sz w:val="28"/>
        </w:rPr>
        <w:t>С 14.06.2026 вступили в законную силу изменения, внесенные в Уголовно-процессуальный кодекс Российской Федерации (далее – УПК РФ) и Уголовно-исполнительный кодекс Российской Федерации (далее – УИК РФ)</w:t>
      </w:r>
    </w:p>
    <w:p w14:paraId="5D000000">
      <w:pPr>
        <w:widowControl w:val="1"/>
        <w:ind w:firstLine="709"/>
        <w:jc w:val="both"/>
        <w:rPr>
          <w:color w:val="333333"/>
          <w:sz w:val="28"/>
        </w:rPr>
      </w:pPr>
      <w:r>
        <w:rPr>
          <w:color w:val="333333"/>
          <w:sz w:val="28"/>
        </w:rPr>
        <w:t>Внесены изменения в УПК РФ и УИК РФ, согласно которым осужденный, уклонившийся от отбывания принудительных работ, объявляется в розыск территориальным органом уголовно-исполнительной системы и подлежит задержанию на срок до 48 часов. Данный срок может быть продлен судом до 30 суток.</w:t>
      </w:r>
    </w:p>
    <w:p w14:paraId="5E000000">
      <w:pPr>
        <w:widowControl w:val="1"/>
        <w:ind w:firstLine="709"/>
        <w:jc w:val="both"/>
        <w:rPr>
          <w:color w:val="333333"/>
          <w:sz w:val="28"/>
        </w:rPr>
      </w:pPr>
      <w:r>
        <w:rPr>
          <w:color w:val="333333"/>
          <w:sz w:val="28"/>
        </w:rPr>
        <w:t>Согласно части 1 статьи 60.17 УИК РФ лицо может быть признано уклоняющимся от отбывания принудительных работ в следующих случаях:</w:t>
      </w:r>
      <w:r>
        <w:rPr>
          <w:color w:val="333333"/>
          <w:sz w:val="28"/>
        </w:rPr>
        <w:br/>
      </w:r>
      <w:r>
        <w:rPr>
          <w:color w:val="333333"/>
          <w:sz w:val="28"/>
        </w:rPr>
        <w:t>- уклонения от получения предписания о направлении к месту отбывания наказания;</w:t>
      </w:r>
      <w:r>
        <w:rPr>
          <w:color w:val="333333"/>
          <w:sz w:val="28"/>
        </w:rPr>
        <w:br/>
      </w:r>
      <w:r>
        <w:rPr>
          <w:color w:val="333333"/>
          <w:sz w:val="28"/>
        </w:rPr>
        <w:t>- не прибытия к месту отбывания принудительных работ в установленный предписанием срок;</w:t>
      </w:r>
      <w:r>
        <w:rPr>
          <w:color w:val="333333"/>
          <w:sz w:val="28"/>
        </w:rPr>
        <w:br/>
      </w:r>
      <w:r>
        <w:rPr>
          <w:color w:val="333333"/>
          <w:sz w:val="28"/>
        </w:rPr>
        <w:t>- не возвращения в исправительный центр по истечении разрешенного срока выезда;</w:t>
      </w:r>
      <w:r>
        <w:rPr>
          <w:color w:val="333333"/>
          <w:sz w:val="28"/>
        </w:rPr>
        <w:br/>
      </w:r>
      <w:r>
        <w:rPr>
          <w:color w:val="333333"/>
          <w:sz w:val="28"/>
        </w:rPr>
        <w:t>- самовольного оставления исправительного центра, места работы и (или) место проживания, определенных администрацией исправительного центра, на срок свыше 24 часов.</w:t>
      </w:r>
    </w:p>
    <w:p w14:paraId="5F000000">
      <w:pPr>
        <w:widowControl w:val="1"/>
        <w:ind/>
        <w:jc w:val="center"/>
        <w:rPr>
          <w:b w:val="1"/>
          <w:color w:val="333333"/>
          <w:sz w:val="28"/>
        </w:rPr>
      </w:pPr>
    </w:p>
    <w:p w14:paraId="60000000">
      <w:pPr>
        <w:widowControl w:val="1"/>
        <w:ind/>
        <w:jc w:val="center"/>
        <w:rPr>
          <w:b w:val="1"/>
          <w:color w:val="333333"/>
          <w:sz w:val="28"/>
        </w:rPr>
      </w:pPr>
      <w:r>
        <w:rPr>
          <w:b w:val="1"/>
          <w:color w:val="333333"/>
          <w:sz w:val="28"/>
        </w:rPr>
        <w:t>Особенности наложения ареста на цифровую валюту и ее изъятие в ходе следственных действий</w:t>
      </w:r>
    </w:p>
    <w:p w14:paraId="61000000">
      <w:pPr>
        <w:widowControl w:val="1"/>
        <w:spacing w:afterAutospacing="on"/>
        <w:ind w:firstLine="709"/>
        <w:jc w:val="both"/>
        <w:rPr>
          <w:color w:val="333333"/>
          <w:sz w:val="28"/>
        </w:rPr>
      </w:pPr>
      <w:r>
        <w:rPr>
          <w:color w:val="333333"/>
          <w:sz w:val="28"/>
        </w:rPr>
        <w:t>С 3 марта 2026 года федеральным законом от 20.02.2026 № 38-ФЗ в Уголовный кодекс Российской Федерации (далее – УК РФ) и Уголовнопроцессуальный кодекс Российской Федерации (далее – УПК РФ) внесены изменения, устанавливающие особенности наложения ареста на цифровую валюту и ее изъятия в ходе следственных действий.</w:t>
      </w:r>
    </w:p>
    <w:p w14:paraId="62000000">
      <w:pPr>
        <w:widowControl w:val="1"/>
        <w:spacing w:afterAutospacing="on"/>
        <w:ind w:firstLine="709"/>
        <w:jc w:val="both"/>
        <w:rPr>
          <w:color w:val="333333"/>
          <w:sz w:val="28"/>
        </w:rPr>
      </w:pPr>
      <w:r>
        <w:rPr>
          <w:color w:val="333333"/>
          <w:sz w:val="28"/>
        </w:rPr>
        <w:t>Цифровая валюта (далее – ЦВ) законодательно признана имуществом (статья 104.1 УК РФ).</w:t>
      </w:r>
    </w:p>
    <w:p w14:paraId="63000000">
      <w:pPr>
        <w:widowControl w:val="1"/>
        <w:spacing w:afterAutospacing="on"/>
        <w:ind w:firstLine="709"/>
        <w:jc w:val="both"/>
        <w:rPr>
          <w:color w:val="333333"/>
          <w:sz w:val="28"/>
        </w:rPr>
      </w:pPr>
      <w:r>
        <w:rPr>
          <w:color w:val="333333"/>
          <w:sz w:val="28"/>
        </w:rPr>
        <w:t>Согласно статье 115 УПК РФ при наложении ареста на ЦВ, хранение которой осуществляется на материальном носителе или доступ к которой осуществляется посредством информации, зафиксированной на материальном носителе, такой материальный носитель подлежит изъятию. При наличии технической возможности для ее сохранности осуществляется перевод ЦВ на адрес-идентификатор. Вид ЦВ, ее количество и иные данные, необходимые для идентификации валюты, указываются в предусмотренном частью 8 статьи 115 УПК РФ протоколе.</w:t>
      </w:r>
    </w:p>
    <w:p w14:paraId="64000000">
      <w:pPr>
        <w:widowControl w:val="1"/>
        <w:spacing w:afterAutospacing="on"/>
        <w:ind w:firstLine="709"/>
        <w:jc w:val="both"/>
        <w:rPr>
          <w:color w:val="333333"/>
          <w:sz w:val="28"/>
        </w:rPr>
      </w:pPr>
      <w:r>
        <w:rPr>
          <w:color w:val="333333"/>
          <w:sz w:val="28"/>
        </w:rPr>
        <w:t>При наложении ареста на ЦВ операции с ней прекращаются полностью или частично в пределах, определенных судом. Лицо, оказывающее услуги, направленные на обеспечение совершения гражданско-правовых сделок и (или) операций, влекущих за собой переход ЦВ от одного обладателя к другому, обязано предоставить информацию о ней по запросу суда, следователя с согласия руководителя следственного органа или дознавателя с согласия прокурора.</w:t>
      </w:r>
    </w:p>
    <w:p w14:paraId="65000000">
      <w:pPr>
        <w:widowControl w:val="1"/>
        <w:spacing w:afterAutospacing="on"/>
        <w:ind w:firstLine="709"/>
        <w:jc w:val="both"/>
        <w:rPr>
          <w:color w:val="333333"/>
          <w:sz w:val="28"/>
        </w:rPr>
      </w:pPr>
      <w:r>
        <w:rPr>
          <w:color w:val="333333"/>
          <w:sz w:val="28"/>
        </w:rPr>
        <w:t>Статьей 164.2 УПК РФ определено, что изъятие ЦВ осуществляется в ходе следственных действий с участием специалиста. Материальный носитель, на котором осуществляется хранение цифровой валюты или зафиксирована информация, посредством которой осуществляется доступ к ней, изымается в ходе следственных действий и хранится в опечатанном виде в условиях, обеспечивающих сохранность ЦВ и исключающих возможность ознакомления с указанной информацией посторонних лиц.</w:t>
      </w:r>
    </w:p>
    <w:p w14:paraId="66000000">
      <w:pPr>
        <w:widowControl w:val="1"/>
        <w:spacing w:afterAutospacing="on"/>
        <w:ind w:firstLine="709"/>
        <w:jc w:val="both"/>
        <w:rPr>
          <w:color w:val="333333"/>
          <w:sz w:val="28"/>
        </w:rPr>
      </w:pPr>
      <w:r>
        <w:rPr>
          <w:color w:val="333333"/>
          <w:sz w:val="28"/>
        </w:rPr>
        <w:t>В целях обеспечения сохранности изъятой ЦВ при наличии технической возможности осуществляется ее перевод на адрес-идентификатор, о чем также составляется протокол следственного действия, где указываются вид ЦВ, ее количество, а в случае перевода валюты на адрес-идентификатор также адреса- идентификаторы отправителя, получателя и иные данные, необходимые для идентификации операции с ЦВ.</w:t>
      </w:r>
    </w:p>
    <w:p w14:paraId="67000000">
      <w:pPr>
        <w:widowControl w:val="1"/>
        <w:spacing w:afterAutospacing="on"/>
        <w:ind w:firstLine="709"/>
        <w:jc w:val="both"/>
        <w:rPr>
          <w:color w:val="333333"/>
          <w:sz w:val="28"/>
        </w:rPr>
      </w:pPr>
      <w:r>
        <w:rPr>
          <w:color w:val="333333"/>
          <w:sz w:val="28"/>
        </w:rPr>
        <w:t>Изъятая ЦВ хранится в установленном Правительством Российской Федерации порядке.</w:t>
      </w:r>
    </w:p>
    <w:p w14:paraId="68000000">
      <w:pPr>
        <w:widowControl w:val="1"/>
        <w:spacing w:afterAutospacing="on"/>
        <w:ind w:firstLine="709"/>
        <w:jc w:val="both"/>
        <w:rPr>
          <w:color w:val="333333"/>
          <w:sz w:val="28"/>
        </w:rPr>
      </w:pPr>
      <w:r>
        <w:rPr>
          <w:color w:val="333333"/>
          <w:sz w:val="28"/>
        </w:rPr>
        <w:t xml:space="preserve">Изменения вступили в силу с 3 марта </w:t>
      </w:r>
      <w:r>
        <w:rPr>
          <w:color w:val="333333"/>
          <w:sz w:val="28"/>
        </w:rPr>
        <w:t>2026 г</w:t>
      </w:r>
      <w:r>
        <w:rPr>
          <w:color w:val="333333"/>
          <w:sz w:val="28"/>
        </w:rPr>
        <w:t>.</w:t>
      </w:r>
    </w:p>
    <w:p w14:paraId="69000000">
      <w:pPr>
        <w:widowControl w:val="0"/>
        <w:ind w:firstLine="709" w:left="0"/>
        <w:jc w:val="both"/>
      </w:pPr>
    </w:p>
    <w:p w14:paraId="6A000000">
      <w:pPr>
        <w:widowControl w:val="0"/>
        <w:ind w:firstLine="709" w:left="0"/>
        <w:jc w:val="both"/>
        <w:rPr>
          <w:b w:val="1"/>
        </w:rPr>
      </w:pPr>
      <w:r>
        <w:rPr>
          <w:b w:val="1"/>
        </w:rPr>
        <w:t>Копии бюллетеней, с размещенной информацией, прошу незамедлительно направить в адрес прокуратуры района</w:t>
      </w:r>
    </w:p>
    <w:p w14:paraId="6B000000">
      <w:pPr>
        <w:widowControl w:val="0"/>
        <w:ind w:firstLine="0" w:left="0"/>
        <w:rPr>
          <w:color w:val="000000"/>
        </w:rPr>
      </w:pPr>
    </w:p>
    <w:tbl>
      <w:tblPr>
        <w:tblStyle w:val="Style_3"/>
        <w:tblW w:type="auto" w:w="0"/>
        <w:tblLayout w:type="fixed"/>
      </w:tblPr>
      <w:tblGrid>
        <w:gridCol w:w="3295"/>
        <w:gridCol w:w="3476"/>
        <w:gridCol w:w="519"/>
        <w:gridCol w:w="2349"/>
      </w:tblGrid>
      <w:tr>
        <w:tc>
          <w:tcPr>
            <w:tcW w:type="dxa" w:w="6771"/>
            <w:gridSpan w:val="2"/>
            <w:shd w:fill="auto" w:val="clear"/>
            <w:tcMar>
              <w:top w:type="dxa" w:w="0"/>
              <w:left w:type="dxa" w:w="108"/>
              <w:bottom w:type="dxa" w:w="0"/>
              <w:right w:type="dxa" w:w="108"/>
            </w:tcMar>
          </w:tcPr>
          <w:p w14:paraId="6C000000">
            <w:pPr>
              <w:widowControl w:val="0"/>
              <w:spacing w:line="240" w:lineRule="exact"/>
              <w:ind w:firstLine="0" w:left="-108"/>
            </w:pPr>
            <w:r>
              <w:t>Прокурор района</w:t>
            </w:r>
          </w:p>
          <w:p w14:paraId="6D000000">
            <w:pPr>
              <w:widowControl w:val="0"/>
              <w:spacing w:line="240" w:lineRule="exact"/>
              <w:ind w:firstLine="0" w:left="-108"/>
              <w:jc w:val="both"/>
            </w:pPr>
            <w:r>
              <w:t>советник юстиции</w:t>
            </w:r>
          </w:p>
        </w:tc>
        <w:tc>
          <w:tcPr>
            <w:tcW w:type="dxa" w:w="2868"/>
            <w:gridSpan w:val="2"/>
            <w:shd w:fill="auto" w:val="clear"/>
            <w:vAlign w:val="bottom"/>
          </w:tcPr>
          <w:p w14:paraId="6E000000">
            <w:pPr>
              <w:widowControl w:val="0"/>
              <w:spacing w:line="240" w:lineRule="exact"/>
              <w:ind w:right="-108"/>
              <w:jc w:val="right"/>
            </w:pPr>
            <w:r>
              <w:t xml:space="preserve">И.А Егоров </w:t>
            </w:r>
          </w:p>
        </w:tc>
      </w:tr>
      <w:tr>
        <w:trPr>
          <w:trHeight w:hRule="atLeast" w:val="1427"/>
        </w:trPr>
        <w:tc>
          <w:tcPr>
            <w:tcW w:type="dxa" w:w="3295"/>
            <w:shd w:fill="auto" w:val="clear"/>
          </w:tcPr>
          <w:p w14:paraId="6F000000">
            <w:pPr>
              <w:widowControl w:val="0"/>
              <w:ind w:firstLine="0" w:left="-107"/>
              <w:rPr>
                <w:rFonts w:ascii="Calibri" w:hAnsi="Calibri"/>
                <w:color w:val="D9D9D9"/>
              </w:rPr>
            </w:pPr>
          </w:p>
        </w:tc>
        <w:tc>
          <w:tcPr>
            <w:tcW w:type="dxa" w:w="3995"/>
            <w:gridSpan w:val="2"/>
            <w:tcBorders>
              <w:bottom w:color="F2F2F2" w:sz="2" w:val="single"/>
            </w:tcBorders>
            <w:shd w:fill="auto" w:val="clear"/>
          </w:tcPr>
          <w:p w14:paraId="70000000">
            <w:pPr>
              <w:widowControl w:val="0"/>
              <w:ind w:firstLine="0" w:left="-107"/>
              <w:rPr>
                <w:color w:val="D9D9D9"/>
              </w:rPr>
            </w:pPr>
            <w:bookmarkStart w:id="4" w:name="SIGNERSTAMP1"/>
            <w:r>
              <w:rPr>
                <w:color w:val="D9D9D9"/>
              </w:rPr>
              <w:t>штамп подписи 1</w:t>
            </w:r>
            <w:bookmarkEnd w:id="4"/>
          </w:p>
          <w:p w14:paraId="71000000">
            <w:pPr>
              <w:widowControl w:val="0"/>
              <w:spacing w:before="240"/>
              <w:ind/>
              <w:rPr>
                <w:color w:val="D9D9D9"/>
              </w:rPr>
            </w:pPr>
          </w:p>
        </w:tc>
        <w:tc>
          <w:tcPr>
            <w:tcW w:type="dxa" w:w="2349"/>
          </w:tcPr>
          <w:p/>
        </w:tc>
      </w:tr>
    </w:tbl>
    <w:p w14:paraId="72000000">
      <w:pPr>
        <w:rPr>
          <w:color w:val="D9D9D9"/>
        </w:rPr>
      </w:pPr>
    </w:p>
    <w:sectPr>
      <w:headerReference r:id="rId1" w:type="default"/>
      <w:headerReference r:id="rId5" w:type="first"/>
      <w:headerReference r:id="rId3" w:type="even"/>
      <w:footerReference r:id="rId2" w:type="default"/>
      <w:footerReference r:id="rId6" w:type="first"/>
      <w:footerReference r:id="rId4" w:type="even"/>
      <w:pgSz w:h="16838" w:orient="portrait" w:w="11906"/>
      <w:pgMar w:bottom="1134" w:footer="170" w:gutter="0" w:header="680" w:left="1701" w:right="567" w:top="1134"/>
      <w:titlePg/>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2000000">
    <w:pPr>
      <w:pStyle w:val="Style_1"/>
    </w:pPr>
  </w:p>
</w:ftr>
</file>

<file path=word/footer4.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4000000">
    <w:pPr>
      <w:pStyle w:val="Style_1"/>
    </w:pPr>
  </w:p>
</w:ftr>
</file>

<file path=word/footer6.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tbl>
    <w:tblPr>
      <w:tblStyle w:val="Style_3"/>
      <w:tblW w:type="auto" w:w="0"/>
      <w:tblBorders>
        <w:top w:color="000000" w:sz="6" w:val="single"/>
        <w:left w:color="000000" w:sz="6" w:val="single"/>
        <w:bottom w:color="000000" w:sz="6" w:val="single"/>
        <w:right w:color="000000" w:sz="6" w:val="single"/>
        <w:insideH w:color="000000" w:sz="6" w:val="single"/>
        <w:insideV w:color="000000" w:sz="6" w:val="single"/>
      </w:tblBorders>
      <w:tblLayout w:type="fixed"/>
      <w:tblCellMar>
        <w:top w:type="dxa" w:w="28"/>
        <w:left w:type="dxa" w:w="28"/>
        <w:bottom w:type="dxa" w:w="28"/>
        <w:right w:type="dxa" w:w="28"/>
      </w:tblCellMar>
    </w:tblPr>
    <w:tblGrid>
      <w:gridCol w:w="6802"/>
      <w:gridCol w:w="2837"/>
    </w:tblGrid>
    <w:tr>
      <w:trPr>
        <w:trHeight w:hRule="atLeast" w:val="382"/>
      </w:trPr>
      <w:tc>
        <w:tcPr>
          <w:tcW w:type="dxa" w:w="6802"/>
          <w:tcBorders>
            <w:top w:sz="4" w:val="nil"/>
            <w:left w:sz="4" w:val="nil"/>
            <w:bottom w:sz="4" w:val="nil"/>
            <w:right w:color="000000" w:sz="6" w:val="single"/>
          </w:tcBorders>
          <w:tcMar>
            <w:top w:type="dxa" w:w="28"/>
            <w:left w:type="dxa" w:w="28"/>
            <w:bottom w:type="dxa" w:w="28"/>
            <w:right w:type="dxa" w:w="28"/>
          </w:tcMar>
        </w:tcPr>
        <w:p w14:paraId="06000000">
          <w:pPr>
            <w:widowControl w:val="0"/>
            <w:spacing w:after="60"/>
            <w:ind/>
            <w:jc w:val="center"/>
            <w:rPr>
              <w:sz w:val="16"/>
            </w:rPr>
          </w:pPr>
        </w:p>
      </w:tc>
      <w:tc>
        <w:tcPr>
          <w:tcW w:type="dxa" w:w="2837"/>
          <w:tcBorders>
            <w:top w:color="000000" w:sz="6" w:val="single"/>
            <w:left w:color="000000" w:sz="6" w:val="single"/>
            <w:bottom w:color="000000" w:sz="6" w:val="single"/>
            <w:right w:color="000000" w:sz="6" w:val="single"/>
          </w:tcBorders>
          <w:tcMar>
            <w:top w:type="dxa" w:w="28"/>
            <w:left w:type="dxa" w:w="28"/>
            <w:bottom w:type="dxa" w:w="28"/>
            <w:right w:type="dxa" w:w="28"/>
          </w:tcMar>
        </w:tcPr>
        <w:p w14:paraId="07000000">
          <w:pPr>
            <w:widowControl w:val="0"/>
            <w:ind/>
            <w:jc w:val="center"/>
            <w:rPr>
              <w:sz w:val="16"/>
            </w:rPr>
          </w:pPr>
          <w:r>
            <w:rPr>
              <w:sz w:val="16"/>
            </w:rPr>
            <w:t xml:space="preserve">Прокуратура </w:t>
          </w:r>
          <w:r>
            <w:rPr>
              <w:sz w:val="16"/>
            </w:rPr>
            <w:t>Ромодановского</w:t>
          </w:r>
          <w:bookmarkStart w:id="1" w:name="_GoBack"/>
          <w:bookmarkEnd w:id="1"/>
          <w:r>
            <w:rPr>
              <w:sz w:val="16"/>
            </w:rPr>
            <w:t xml:space="preserve"> района</w:t>
          </w:r>
        </w:p>
        <w:p w14:paraId="08000000">
          <w:pPr>
            <w:widowControl w:val="0"/>
            <w:ind/>
            <w:jc w:val="center"/>
            <w:rPr>
              <w:sz w:val="16"/>
            </w:rPr>
          </w:pPr>
          <w:bookmarkStart w:id="2" w:name="REGNUMSTAMP"/>
          <w:r>
            <w:rPr>
              <w:color w:val="BFBFBF"/>
              <w:sz w:val="16"/>
            </w:rPr>
            <w:t>рег.номер</w:t>
          </w:r>
          <w:bookmarkEnd w:id="2"/>
        </w:p>
      </w:tc>
    </w:tr>
  </w:tbl>
  <w:p w14:paraId="09000000">
    <w:pPr>
      <w:pStyle w:val="Style_1"/>
      <w:rPr>
        <w:sz w:val="16"/>
      </w:rPr>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widowControl w:val="0"/>
      <w:ind/>
      <w:jc w:val="center"/>
      <w:rPr>
        <w:sz w:val="24"/>
      </w:rPr>
    </w:pPr>
    <w:r>
      <w:rPr>
        <w:sz w:val="24"/>
      </w:rPr>
      <w:fldChar w:fldCharType="begin"/>
    </w:r>
    <w:r>
      <w:rPr>
        <w:sz w:val="24"/>
      </w:rPr>
      <w:instrText xml:space="preserve">PAGE </w:instrText>
    </w:r>
    <w:r>
      <w:rPr>
        <w:sz w:val="24"/>
      </w:rPr>
      <w:fldChar w:fldCharType="separate"/>
    </w:r>
    <w:r>
      <w:rPr>
        <w:sz w:val="24"/>
      </w:rPr>
      <w:t xml:space="preserve"> </w:t>
    </w:r>
    <w:r>
      <w:rPr>
        <w:sz w:val="24"/>
      </w:rPr>
      <w:fldChar w:fldCharType="end"/>
    </w:r>
  </w:p>
</w:hdr>
</file>

<file path=word/header3.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2"/>
    </w:pPr>
  </w:p>
</w:hdr>
</file>

<file path=word/header5.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5000000">
    <w:pPr>
      <w:pStyle w:val="Style_2"/>
    </w:pPr>
  </w:p>
</w:hd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widowControl w:val="0"/>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rPr>
      <w:rFonts w:ascii="Times New Roman" w:hAnsi="Times New Roman"/>
      <w:sz w:val="28"/>
    </w:rPr>
  </w:style>
  <w:style w:default="1" w:styleId="Style_5_ch" w:type="character">
    <w:name w:val="Normal"/>
    <w:link w:val="Style_5"/>
    <w:rPr>
      <w:rFonts w:ascii="Times New Roman" w:hAnsi="Times New Roman"/>
      <w:sz w:val="28"/>
    </w:rPr>
  </w:style>
  <w:style w:styleId="Style_1" w:type="paragraph">
    <w:name w:val="footer"/>
    <w:basedOn w:val="Style_5"/>
    <w:link w:val="Style_1_ch"/>
    <w:pPr>
      <w:widowControl w:val="0"/>
      <w:tabs>
        <w:tab w:leader="none" w:pos="4677" w:val="center"/>
        <w:tab w:leader="none" w:pos="9355" w:val="right"/>
      </w:tabs>
      <w:ind/>
    </w:pPr>
  </w:style>
  <w:style w:styleId="Style_1_ch" w:type="character">
    <w:name w:val="footer"/>
    <w:basedOn w:val="Style_5_ch"/>
    <w:link w:val="Style_1"/>
  </w:style>
  <w:style w:styleId="Style_9" w:type="paragraph">
    <w:name w:val="toc 2"/>
    <w:next w:val="Style_5"/>
    <w:link w:val="Style_9_ch"/>
    <w:uiPriority w:val="39"/>
    <w:pPr>
      <w:widowControl w:val="0"/>
      <w:ind w:firstLine="0" w:left="200"/>
    </w:pPr>
    <w:rPr>
      <w:rFonts w:ascii="XO Thames" w:hAnsi="XO Thames"/>
      <w:sz w:val="28"/>
    </w:rPr>
  </w:style>
  <w:style w:styleId="Style_9_ch" w:type="character">
    <w:name w:val="toc 2"/>
    <w:link w:val="Style_9"/>
    <w:rPr>
      <w:rFonts w:ascii="XO Thames" w:hAnsi="XO Thames"/>
      <w:sz w:val="28"/>
    </w:rPr>
  </w:style>
  <w:style w:styleId="Style_2" w:type="paragraph">
    <w:name w:val="header"/>
    <w:basedOn w:val="Style_5"/>
    <w:link w:val="Style_2_ch"/>
    <w:pPr>
      <w:widowControl w:val="0"/>
      <w:tabs>
        <w:tab w:leader="none" w:pos="4677" w:val="center"/>
        <w:tab w:leader="none" w:pos="9355" w:val="right"/>
      </w:tabs>
      <w:ind/>
    </w:pPr>
  </w:style>
  <w:style w:styleId="Style_2_ch" w:type="character">
    <w:name w:val="header"/>
    <w:basedOn w:val="Style_5_ch"/>
    <w:link w:val="Style_2"/>
  </w:style>
  <w:style w:styleId="Style_10" w:type="paragraph">
    <w:name w:val="toc 4"/>
    <w:next w:val="Style_5"/>
    <w:link w:val="Style_10_ch"/>
    <w:uiPriority w:val="39"/>
    <w:pPr>
      <w:widowControl w:val="0"/>
      <w:ind w:firstLine="0" w:left="600"/>
    </w:pPr>
    <w:rPr>
      <w:rFonts w:ascii="XO Thames" w:hAnsi="XO Thames"/>
      <w:sz w:val="28"/>
    </w:rPr>
  </w:style>
  <w:style w:styleId="Style_10_ch" w:type="character">
    <w:name w:val="toc 4"/>
    <w:link w:val="Style_10"/>
    <w:rPr>
      <w:rFonts w:ascii="XO Thames" w:hAnsi="XO Thames"/>
      <w:sz w:val="28"/>
    </w:rPr>
  </w:style>
  <w:style w:styleId="Style_11" w:type="paragraph">
    <w:name w:val="toc 6"/>
    <w:next w:val="Style_5"/>
    <w:link w:val="Style_11_ch"/>
    <w:uiPriority w:val="39"/>
    <w:pPr>
      <w:widowControl w:val="0"/>
      <w:ind w:firstLine="0" w:left="1000"/>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5"/>
    <w:link w:val="Style_12_ch"/>
    <w:uiPriority w:val="39"/>
    <w:pPr>
      <w:widowControl w:val="0"/>
      <w:ind w:firstLine="0" w:left="1200"/>
    </w:pPr>
    <w:rPr>
      <w:rFonts w:ascii="XO Thames" w:hAnsi="XO Thames"/>
      <w:sz w:val="28"/>
    </w:rPr>
  </w:style>
  <w:style w:styleId="Style_12_ch" w:type="character">
    <w:name w:val="toc 7"/>
    <w:link w:val="Style_12"/>
    <w:rPr>
      <w:rFonts w:ascii="XO Thames" w:hAnsi="XO Thames"/>
      <w:sz w:val="28"/>
    </w:rPr>
  </w:style>
  <w:style w:styleId="Style_13" w:type="paragraph">
    <w:name w:val="Default Paragraph Font"/>
    <w:link w:val="Style_13_ch"/>
  </w:style>
  <w:style w:styleId="Style_13_ch" w:type="character">
    <w:name w:val="Default Paragraph Font"/>
    <w:link w:val="Style_13"/>
  </w:style>
  <w:style w:styleId="Style_14" w:type="paragraph">
    <w:name w:val="Endnote"/>
    <w:link w:val="Style_14_ch"/>
    <w:pPr>
      <w:widowControl w:val="0"/>
      <w:ind w:firstLine="851" w:left="0"/>
      <w:jc w:val="both"/>
    </w:pPr>
    <w:rPr>
      <w:rFonts w:ascii="XO Thames" w:hAnsi="XO Thames"/>
      <w:sz w:val="22"/>
    </w:rPr>
  </w:style>
  <w:style w:styleId="Style_14_ch" w:type="character">
    <w:name w:val="Endnote"/>
    <w:link w:val="Style_14"/>
    <w:rPr>
      <w:rFonts w:ascii="XO Thames" w:hAnsi="XO Thames"/>
      <w:sz w:val="22"/>
    </w:rPr>
  </w:style>
  <w:style w:styleId="Style_6" w:type="paragraph">
    <w:name w:val="heading 3"/>
    <w:basedOn w:val="Style_5"/>
    <w:next w:val="Style_5"/>
    <w:link w:val="Style_6_ch"/>
    <w:uiPriority w:val="9"/>
    <w:qFormat/>
    <w:pPr>
      <w:keepNext w:val="1"/>
      <w:widowControl w:val="0"/>
      <w:spacing w:line="240" w:lineRule="atLeast"/>
      <w:ind/>
      <w:jc w:val="both"/>
      <w:outlineLvl w:val="2"/>
    </w:pPr>
    <w:rPr>
      <w:b w:val="1"/>
      <w:sz w:val="16"/>
    </w:rPr>
  </w:style>
  <w:style w:styleId="Style_6_ch" w:type="character">
    <w:name w:val="heading 3"/>
    <w:basedOn w:val="Style_5_ch"/>
    <w:link w:val="Style_6"/>
    <w:rPr>
      <w:b w:val="1"/>
      <w:sz w:val="16"/>
    </w:rPr>
  </w:style>
  <w:style w:styleId="Style_15" w:type="paragraph">
    <w:name w:val="Placeholder Text"/>
    <w:basedOn w:val="Style_13"/>
    <w:link w:val="Style_15_ch"/>
    <w:rPr>
      <w:color w:val="808080"/>
    </w:rPr>
  </w:style>
  <w:style w:styleId="Style_15_ch" w:type="character">
    <w:name w:val="Placeholder Text"/>
    <w:basedOn w:val="Style_13_ch"/>
    <w:link w:val="Style_15"/>
    <w:rPr>
      <w:color w:val="808080"/>
    </w:rPr>
  </w:style>
  <w:style w:styleId="Style_16" w:type="paragraph">
    <w:name w:val="Гиперссылка1"/>
    <w:link w:val="Style_16_ch"/>
    <w:rPr>
      <w:color w:val="0000FF"/>
      <w:u w:val="single"/>
    </w:rPr>
  </w:style>
  <w:style w:styleId="Style_16_ch" w:type="character">
    <w:name w:val="Гиперссылка1"/>
    <w:link w:val="Style_16"/>
    <w:rPr>
      <w:color w:val="0000FF"/>
      <w:u w:val="single"/>
    </w:rPr>
  </w:style>
  <w:style w:styleId="Style_17" w:type="paragraph">
    <w:name w:val="toc 3"/>
    <w:next w:val="Style_5"/>
    <w:link w:val="Style_17_ch"/>
    <w:uiPriority w:val="39"/>
    <w:pPr>
      <w:widowControl w:val="0"/>
      <w:ind w:firstLine="0" w:left="400"/>
    </w:pPr>
    <w:rPr>
      <w:rFonts w:ascii="XO Thames" w:hAnsi="XO Thames"/>
      <w:sz w:val="28"/>
    </w:rPr>
  </w:style>
  <w:style w:styleId="Style_17_ch" w:type="character">
    <w:name w:val="toc 3"/>
    <w:link w:val="Style_17"/>
    <w:rPr>
      <w:rFonts w:ascii="XO Thames" w:hAnsi="XO Thames"/>
      <w:sz w:val="28"/>
    </w:rPr>
  </w:style>
  <w:style w:styleId="Style_18" w:type="paragraph">
    <w:name w:val="Обычный1"/>
    <w:link w:val="Style_18_ch"/>
    <w:rPr>
      <w:rFonts w:ascii="Times New Roman" w:hAnsi="Times New Roman"/>
      <w:sz w:val="28"/>
    </w:rPr>
  </w:style>
  <w:style w:styleId="Style_18_ch" w:type="character">
    <w:name w:val="Обычный1"/>
    <w:link w:val="Style_18"/>
    <w:rPr>
      <w:rFonts w:ascii="Times New Roman" w:hAnsi="Times New Roman"/>
      <w:sz w:val="28"/>
    </w:rPr>
  </w:style>
  <w:style w:styleId="Style_19" w:type="paragraph">
    <w:name w:val="heading 5"/>
    <w:next w:val="Style_5"/>
    <w:link w:val="Style_19_ch"/>
    <w:uiPriority w:val="9"/>
    <w:qFormat/>
    <w:pPr>
      <w:widowControl w:val="0"/>
      <w:spacing w:after="120" w:before="120"/>
      <w:ind/>
      <w:jc w:val="both"/>
      <w:outlineLvl w:val="4"/>
    </w:pPr>
    <w:rPr>
      <w:rFonts w:ascii="XO Thames" w:hAnsi="XO Thames"/>
      <w:b w:val="1"/>
      <w:sz w:val="22"/>
    </w:rPr>
  </w:style>
  <w:style w:styleId="Style_19_ch" w:type="character">
    <w:name w:val="heading 5"/>
    <w:link w:val="Style_19"/>
    <w:rPr>
      <w:rFonts w:ascii="XO Thames" w:hAnsi="XO Thames"/>
      <w:b w:val="1"/>
      <w:sz w:val="22"/>
    </w:rPr>
  </w:style>
  <w:style w:styleId="Style_7" w:type="paragraph">
    <w:name w:val="heading 1"/>
    <w:basedOn w:val="Style_5"/>
    <w:next w:val="Style_5"/>
    <w:link w:val="Style_7_ch"/>
    <w:uiPriority w:val="9"/>
    <w:qFormat/>
    <w:pPr>
      <w:keepNext w:val="1"/>
      <w:widowControl w:val="0"/>
      <w:ind w:right="141"/>
      <w:jc w:val="center"/>
      <w:outlineLvl w:val="0"/>
    </w:pPr>
    <w:rPr>
      <w:b w:val="1"/>
      <w:sz w:val="32"/>
    </w:rPr>
  </w:style>
  <w:style w:styleId="Style_7_ch" w:type="character">
    <w:name w:val="heading 1"/>
    <w:basedOn w:val="Style_5_ch"/>
    <w:link w:val="Style_7"/>
    <w:rPr>
      <w:b w:val="1"/>
      <w:sz w:val="32"/>
    </w:rPr>
  </w:style>
  <w:style w:styleId="Style_20" w:type="paragraph">
    <w:name w:val="Hyperlink"/>
    <w:link w:val="Style_20_ch"/>
    <w:rPr>
      <w:color w:val="0000FF"/>
      <w:u w:val="single"/>
    </w:rPr>
  </w:style>
  <w:style w:styleId="Style_20_ch" w:type="character">
    <w:name w:val="Hyperlink"/>
    <w:link w:val="Style_20"/>
    <w:rPr>
      <w:color w:val="0000FF"/>
      <w:u w:val="single"/>
    </w:rPr>
  </w:style>
  <w:style w:styleId="Style_21" w:type="paragraph">
    <w:name w:val="Footnote"/>
    <w:link w:val="Style_21_ch"/>
    <w:pPr>
      <w:widowControl w:val="0"/>
      <w:ind w:firstLine="851" w:left="0"/>
      <w:jc w:val="both"/>
    </w:pPr>
    <w:rPr>
      <w:rFonts w:ascii="XO Thames" w:hAnsi="XO Thames"/>
      <w:sz w:val="22"/>
    </w:rPr>
  </w:style>
  <w:style w:styleId="Style_21_ch" w:type="character">
    <w:name w:val="Footnote"/>
    <w:link w:val="Style_21"/>
    <w:rPr>
      <w:rFonts w:ascii="XO Thames" w:hAnsi="XO Thames"/>
      <w:sz w:val="22"/>
    </w:rPr>
  </w:style>
  <w:style w:styleId="Style_22" w:type="paragraph">
    <w:name w:val="toc 1"/>
    <w:next w:val="Style_5"/>
    <w:link w:val="Style_22_ch"/>
    <w:uiPriority w:val="39"/>
    <w:rPr>
      <w:rFonts w:ascii="XO Thames" w:hAnsi="XO Thames"/>
      <w:b w:val="1"/>
      <w:sz w:val="28"/>
    </w:rPr>
  </w:style>
  <w:style w:styleId="Style_22_ch" w:type="character">
    <w:name w:val="toc 1"/>
    <w:link w:val="Style_22"/>
    <w:rPr>
      <w:rFonts w:ascii="XO Thames" w:hAnsi="XO Thames"/>
      <w:b w:val="1"/>
      <w:sz w:val="28"/>
    </w:rPr>
  </w:style>
  <w:style w:styleId="Style_23" w:type="paragraph">
    <w:name w:val="Header and Footer"/>
    <w:link w:val="Style_23_ch"/>
    <w:pPr>
      <w:widowControl w:val="0"/>
      <w:ind/>
      <w:jc w:val="both"/>
    </w:pPr>
    <w:rPr>
      <w:rFonts w:ascii="XO Thames" w:hAnsi="XO Thames"/>
    </w:rPr>
  </w:style>
  <w:style w:styleId="Style_23_ch" w:type="character">
    <w:name w:val="Header and Footer"/>
    <w:link w:val="Style_23"/>
    <w:rPr>
      <w:rFonts w:ascii="XO Thames" w:hAnsi="XO Thames"/>
    </w:rPr>
  </w:style>
  <w:style w:styleId="Style_24" w:type="paragraph">
    <w:name w:val="toc 9"/>
    <w:next w:val="Style_5"/>
    <w:link w:val="Style_24_ch"/>
    <w:uiPriority w:val="39"/>
    <w:pPr>
      <w:widowControl w:val="0"/>
      <w:ind w:firstLine="0" w:left="1600"/>
    </w:pPr>
    <w:rPr>
      <w:rFonts w:ascii="XO Thames" w:hAnsi="XO Thames"/>
      <w:sz w:val="28"/>
    </w:rPr>
  </w:style>
  <w:style w:styleId="Style_24_ch" w:type="character">
    <w:name w:val="toc 9"/>
    <w:link w:val="Style_24"/>
    <w:rPr>
      <w:rFonts w:ascii="XO Thames" w:hAnsi="XO Thames"/>
      <w:sz w:val="28"/>
    </w:rPr>
  </w:style>
  <w:style w:styleId="Style_25" w:type="paragraph">
    <w:name w:val="Основной шрифт абзаца2"/>
    <w:link w:val="Style_25_ch"/>
  </w:style>
  <w:style w:styleId="Style_25_ch" w:type="character">
    <w:name w:val="Основной шрифт абзаца2"/>
    <w:link w:val="Style_25"/>
  </w:style>
  <w:style w:styleId="Style_26" w:type="paragraph">
    <w:name w:val="toc 8"/>
    <w:next w:val="Style_5"/>
    <w:link w:val="Style_26_ch"/>
    <w:uiPriority w:val="39"/>
    <w:pPr>
      <w:widowControl w:val="0"/>
      <w:ind w:firstLine="0" w:left="1400"/>
    </w:pPr>
    <w:rPr>
      <w:rFonts w:ascii="XO Thames" w:hAnsi="XO Thames"/>
      <w:sz w:val="28"/>
    </w:rPr>
  </w:style>
  <w:style w:styleId="Style_26_ch" w:type="character">
    <w:name w:val="toc 8"/>
    <w:link w:val="Style_26"/>
    <w:rPr>
      <w:rFonts w:ascii="XO Thames" w:hAnsi="XO Thames"/>
      <w:sz w:val="28"/>
    </w:rPr>
  </w:style>
  <w:style w:styleId="Style_27" w:type="paragraph">
    <w:name w:val="Balloon Text"/>
    <w:basedOn w:val="Style_5"/>
    <w:link w:val="Style_27_ch"/>
    <w:rPr>
      <w:rFonts w:ascii="Tahoma" w:hAnsi="Tahoma"/>
      <w:sz w:val="16"/>
    </w:rPr>
  </w:style>
  <w:style w:styleId="Style_27_ch" w:type="character">
    <w:name w:val="Balloon Text"/>
    <w:basedOn w:val="Style_5_ch"/>
    <w:link w:val="Style_27"/>
    <w:rPr>
      <w:rFonts w:ascii="Tahoma" w:hAnsi="Tahoma"/>
      <w:sz w:val="16"/>
    </w:rPr>
  </w:style>
  <w:style w:styleId="Style_28" w:type="paragraph">
    <w:name w:val="toc 5"/>
    <w:next w:val="Style_5"/>
    <w:link w:val="Style_28_ch"/>
    <w:uiPriority w:val="39"/>
    <w:pPr>
      <w:widowControl w:val="0"/>
      <w:ind w:firstLine="0" w:left="800"/>
    </w:pPr>
    <w:rPr>
      <w:rFonts w:ascii="XO Thames" w:hAnsi="XO Thames"/>
      <w:sz w:val="28"/>
    </w:rPr>
  </w:style>
  <w:style w:styleId="Style_28_ch" w:type="character">
    <w:name w:val="toc 5"/>
    <w:link w:val="Style_28"/>
    <w:rPr>
      <w:rFonts w:ascii="XO Thames" w:hAnsi="XO Thames"/>
      <w:sz w:val="28"/>
    </w:rPr>
  </w:style>
  <w:style w:styleId="Style_29" w:type="paragraph">
    <w:name w:val="Обычный12"/>
    <w:link w:val="Style_29_ch"/>
    <w:rPr>
      <w:rFonts w:ascii="Times New Roman" w:hAnsi="Times New Roman"/>
      <w:sz w:val="28"/>
    </w:rPr>
  </w:style>
  <w:style w:styleId="Style_29_ch" w:type="character">
    <w:name w:val="Обычный12"/>
    <w:link w:val="Style_29"/>
    <w:rPr>
      <w:rFonts w:ascii="Times New Roman" w:hAnsi="Times New Roman"/>
      <w:sz w:val="28"/>
    </w:rPr>
  </w:style>
  <w:style w:styleId="Style_30" w:type="paragraph">
    <w:name w:val="Гиперссылка2"/>
    <w:link w:val="Style_30_ch"/>
    <w:rPr>
      <w:color w:val="0000FF"/>
      <w:u w:val="single"/>
    </w:rPr>
  </w:style>
  <w:style w:styleId="Style_30_ch" w:type="character">
    <w:name w:val="Гиперссылка2"/>
    <w:link w:val="Style_30"/>
    <w:rPr>
      <w:color w:val="0000FF"/>
      <w:u w:val="single"/>
    </w:rPr>
  </w:style>
  <w:style w:styleId="Style_31" w:type="paragraph">
    <w:name w:val="Subtitle"/>
    <w:next w:val="Style_5"/>
    <w:link w:val="Style_31_ch"/>
    <w:uiPriority w:val="11"/>
    <w:qFormat/>
    <w:pPr>
      <w:widowControl w:val="0"/>
      <w:ind/>
      <w:jc w:val="both"/>
    </w:pPr>
    <w:rPr>
      <w:rFonts w:ascii="XO Thames" w:hAnsi="XO Thames"/>
      <w:i w:val="1"/>
      <w:sz w:val="24"/>
    </w:rPr>
  </w:style>
  <w:style w:styleId="Style_31_ch" w:type="character">
    <w:name w:val="Subtitle"/>
    <w:link w:val="Style_31"/>
    <w:rPr>
      <w:rFonts w:ascii="XO Thames" w:hAnsi="XO Thames"/>
      <w:i w:val="1"/>
      <w:sz w:val="24"/>
    </w:rPr>
  </w:style>
  <w:style w:styleId="Style_32" w:type="paragraph">
    <w:name w:val="Title"/>
    <w:next w:val="Style_5"/>
    <w:link w:val="Style_32_ch"/>
    <w:uiPriority w:val="10"/>
    <w:qFormat/>
    <w:pPr>
      <w:widowControl w:val="0"/>
      <w:spacing w:after="567" w:before="567"/>
      <w:ind/>
      <w:jc w:val="center"/>
    </w:pPr>
    <w:rPr>
      <w:rFonts w:ascii="XO Thames" w:hAnsi="XO Thames"/>
      <w:b w:val="1"/>
      <w:caps w:val="1"/>
      <w:sz w:val="40"/>
    </w:rPr>
  </w:style>
  <w:style w:styleId="Style_32_ch" w:type="character">
    <w:name w:val="Title"/>
    <w:link w:val="Style_32"/>
    <w:rPr>
      <w:rFonts w:ascii="XO Thames" w:hAnsi="XO Thames"/>
      <w:b w:val="1"/>
      <w:caps w:val="1"/>
      <w:sz w:val="40"/>
    </w:rPr>
  </w:style>
  <w:style w:styleId="Style_8" w:type="paragraph">
    <w:name w:val="heading 4"/>
    <w:basedOn w:val="Style_5"/>
    <w:next w:val="Style_5"/>
    <w:link w:val="Style_8_ch"/>
    <w:uiPriority w:val="9"/>
    <w:qFormat/>
    <w:pPr>
      <w:keepNext w:val="1"/>
      <w:widowControl w:val="0"/>
      <w:spacing w:line="240" w:lineRule="atLeast"/>
      <w:ind w:right="141"/>
      <w:jc w:val="both"/>
      <w:outlineLvl w:val="3"/>
    </w:pPr>
    <w:rPr>
      <w:sz w:val="24"/>
    </w:rPr>
  </w:style>
  <w:style w:styleId="Style_8_ch" w:type="character">
    <w:name w:val="heading 4"/>
    <w:basedOn w:val="Style_5_ch"/>
    <w:link w:val="Style_8"/>
    <w:rPr>
      <w:sz w:val="24"/>
    </w:rPr>
  </w:style>
  <w:style w:styleId="Style_33" w:type="paragraph">
    <w:name w:val="heading 2"/>
    <w:next w:val="Style_5"/>
    <w:link w:val="Style_33_ch"/>
    <w:uiPriority w:val="9"/>
    <w:qFormat/>
    <w:pPr>
      <w:widowControl w:val="0"/>
      <w:spacing w:after="120" w:before="120"/>
      <w:ind/>
      <w:jc w:val="both"/>
      <w:outlineLvl w:val="1"/>
    </w:pPr>
    <w:rPr>
      <w:rFonts w:ascii="XO Thames" w:hAnsi="XO Thames"/>
      <w:b w:val="1"/>
      <w:sz w:val="28"/>
    </w:rPr>
  </w:style>
  <w:style w:styleId="Style_33_ch" w:type="character">
    <w:name w:val="heading 2"/>
    <w:link w:val="Style_33"/>
    <w:rPr>
      <w:rFonts w:ascii="XO Thames" w:hAnsi="XO Thames"/>
      <w:b w:val="1"/>
      <w:sz w:val="28"/>
    </w:rPr>
  </w:style>
  <w:style w:styleId="Style_34" w:type="paragraph">
    <w:name w:val="Основной шрифт абзаца1"/>
    <w:link w:val="Style_34_ch"/>
  </w:style>
  <w:style w:styleId="Style_34_ch" w:type="character">
    <w:name w:val="Основной шрифт абзаца1"/>
    <w:link w:val="Style_34"/>
  </w:style>
  <w:style w:styleId="Style_4" w:type="table">
    <w:name w:val="Table Grid"/>
    <w:basedOn w:val="Style_3"/>
    <w:tblPr>
      <w:tblBorders>
        <w:top w:color="000000" w:sz="4" w:val="single"/>
        <w:left w:color="000000" w:sz="4" w:val="single"/>
        <w:bottom w:color="000000" w:sz="4" w:val="single"/>
        <w:right w:color="000000" w:sz="4" w:val="single"/>
        <w:insideH w:color="000000" w:sz="4" w:val="single"/>
        <w:insideV w:color="000000" w:sz="4" w:val="single"/>
      </w:tblBorders>
    </w:tblPr>
  </w:style>
  <w:style w:default="1" w:styleId="Style_3" w:type="table">
    <w:name w:val="Normal Table"/>
    <w:tblPr>
      <w:tblInd w:type="dxa" w:w="0"/>
      <w:tblCellMar>
        <w:top w:type="dxa" w:w="0"/>
        <w:left w:type="dxa" w:w="108"/>
        <w:bottom w:type="dxa" w:w="0"/>
        <w:right w:type="dxa" w:w="108"/>
      </w:tblCellMar>
    </w:tblPr>
  </w:style>
  <w:style w:styleId="Style_35" w:type="table">
    <w:name w:val="Сетка таблицы светлая1"/>
    <w:tblPr>
      <w:tblInd w:type="dxa" w:w="0"/>
      <w:tblBorders>
        <w:top w:color="BFBFBF" w:sz="4" w:val="single"/>
        <w:left w:color="BFBFBF" w:sz="4" w:val="single"/>
        <w:bottom w:color="BFBFBF" w:sz="4" w:val="single"/>
        <w:right w:color="BFBFBF" w:sz="4" w:val="single"/>
        <w:insideH w:color="BFBFBF" w:sz="4" w:val="single"/>
        <w:insideV w:color="BFBFBF" w:sz="4" w:val="single"/>
      </w:tblBorders>
      <w:tblCellMar>
        <w:top w:type="dxa" w:w="0"/>
        <w:left w:type="dxa" w:w="108"/>
        <w:bottom w:type="dxa" w:w="0"/>
        <w:right w:type="dxa" w:w="108"/>
      </w:tblCellMar>
    </w:tblPr>
  </w:style>
  <w:style w:styleId="Style_36" w:type="table">
    <w:name w:val="Сетка таблицы светлая2"/>
    <w:tblPr>
      <w:tblInd w:type="dxa" w:w="0"/>
      <w:tblBorders>
        <w:top w:color="BFBFBF" w:sz="4" w:val="single"/>
        <w:left w:color="BFBFBF" w:sz="4" w:val="single"/>
        <w:bottom w:color="BFBFBF" w:sz="4" w:val="single"/>
        <w:right w:color="BFBFBF" w:sz="4" w:val="single"/>
        <w:insideH w:color="BFBFBF" w:sz="4" w:val="single"/>
        <w:insideV w:color="BFBFBF" w:sz="4" w:val="single"/>
      </w:tblBorders>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footer6.xml" Type="http://schemas.openxmlformats.org/officeDocument/2006/relationships/footer"/>
  <Relationship Id="rId1" Target="header1.xml" Type="http://schemas.openxmlformats.org/officeDocument/2006/relationships/header"/>
  <Relationship Id="rId13" Target="theme/theme1.xml" Type="http://schemas.openxmlformats.org/officeDocument/2006/relationships/theme"/>
  <Relationship Id="rId12" Target="webSettings.xml" Type="http://schemas.openxmlformats.org/officeDocument/2006/relationships/webSettings"/>
  <Relationship Id="rId10" Target="styles.xml" Type="http://schemas.openxmlformats.org/officeDocument/2006/relationships/styles"/>
  <Relationship Id="rId2" Target="footer2.xml" Type="http://schemas.openxmlformats.org/officeDocument/2006/relationships/footer"/>
  <Relationship Id="rId3" Target="header3.xml" Type="http://schemas.openxmlformats.org/officeDocument/2006/relationships/header"/>
  <Relationship Id="rId8" Target="fontTable.xml" Type="http://schemas.openxmlformats.org/officeDocument/2006/relationships/fontTable"/>
  <Relationship Id="rId4" Target="footer4.xml" Type="http://schemas.openxmlformats.org/officeDocument/2006/relationships/footer"/>
  <Relationship Id="rId11" Target="stylesWithEffects.xml" Type="http://schemas.microsoft.com/office/2007/relationships/stylesWithEffects"/>
  <Relationship Id="rId9" Target="settings.xml" Type="http://schemas.openxmlformats.org/officeDocument/2006/relationships/settings"/>
  <Relationship Id="rId7" Target="media/1.png" Type="http://schemas.openxmlformats.org/officeDocument/2006/relationships/image"/>
  <Relationship Id="rId5" Target="header5.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MyOffice-CoreFramework-Linux/38-1384.1107.10199.1019.1@18975027e3ee4b688e27426d4a78178cb841a344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2025-11-18T14:43:35Z</dcterms:created>
  <dcterms:modified xsi:type="dcterms:W3CDTF">2026-06-28T13:32:03Z</dcterms:modified>
</cp:coreProperties>
</file>